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BF29" w14:textId="436DE698" w:rsidR="006D72B0" w:rsidRPr="00A81694" w:rsidRDefault="00A81694" w:rsidP="00342462">
      <w:pPr>
        <w:pStyle w:val="Bodytext120"/>
        <w:shd w:val="clear" w:color="auto" w:fill="auto"/>
        <w:tabs>
          <w:tab w:val="left" w:pos="6237"/>
          <w:tab w:val="left" w:leader="dot" w:pos="10651"/>
        </w:tabs>
        <w:spacing w:line="360" w:lineRule="auto"/>
        <w:ind w:left="142"/>
        <w:jc w:val="left"/>
        <w:rPr>
          <w:i w:val="0"/>
          <w:sz w:val="24"/>
          <w:szCs w:val="24"/>
        </w:rPr>
      </w:pPr>
      <w:r w:rsidRPr="00A81694">
        <w:rPr>
          <w:i w:val="0"/>
          <w:sz w:val="24"/>
          <w:szCs w:val="24"/>
        </w:rPr>
        <w:t>Załącznik nr 3</w:t>
      </w:r>
      <w:r>
        <w:rPr>
          <w:i w:val="0"/>
          <w:sz w:val="24"/>
          <w:szCs w:val="24"/>
        </w:rPr>
        <w:t xml:space="preserve"> </w:t>
      </w:r>
      <w:r w:rsidRPr="00A81694">
        <w:rPr>
          <w:i w:val="0"/>
          <w:sz w:val="24"/>
          <w:szCs w:val="24"/>
        </w:rPr>
        <w:t>do</w:t>
      </w:r>
      <w:r>
        <w:rPr>
          <w:i w:val="0"/>
          <w:sz w:val="24"/>
          <w:szCs w:val="24"/>
        </w:rPr>
        <w:t xml:space="preserve"> </w:t>
      </w:r>
      <w:r w:rsidRPr="00A81694">
        <w:rPr>
          <w:i w:val="0"/>
          <w:sz w:val="24"/>
          <w:szCs w:val="24"/>
        </w:rPr>
        <w:t>Zaproszenia do złożenia oferty</w:t>
      </w:r>
    </w:p>
    <w:p w14:paraId="221288F3" w14:textId="77777777" w:rsidR="0067050F" w:rsidRPr="00A81694" w:rsidRDefault="0067050F" w:rsidP="00342462">
      <w:pPr>
        <w:pStyle w:val="Bodytext120"/>
        <w:shd w:val="clear" w:color="auto" w:fill="auto"/>
        <w:tabs>
          <w:tab w:val="left" w:leader="dot" w:pos="10651"/>
        </w:tabs>
        <w:spacing w:line="360" w:lineRule="auto"/>
        <w:jc w:val="left"/>
        <w:rPr>
          <w:i w:val="0"/>
          <w:sz w:val="24"/>
          <w:szCs w:val="24"/>
        </w:rPr>
      </w:pPr>
    </w:p>
    <w:p w14:paraId="3C1C9617" w14:textId="77777777" w:rsidR="00AA4115" w:rsidRPr="00A81694" w:rsidRDefault="00AA4115" w:rsidP="00342462">
      <w:pPr>
        <w:pStyle w:val="Nagwek1"/>
        <w:spacing w:line="360" w:lineRule="auto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Opis kryteriów, którymi Zamawiający będzie się kierował przy wyborze oferty, wraz z podaniem </w:t>
      </w:r>
      <w:r w:rsidR="006F2F58" w:rsidRPr="00A81694">
        <w:rPr>
          <w:rFonts w:ascii="Arial" w:hAnsi="Arial" w:cs="Arial"/>
        </w:rPr>
        <w:t>wag</w:t>
      </w:r>
      <w:r w:rsidRPr="00A81694">
        <w:rPr>
          <w:rFonts w:ascii="Arial" w:hAnsi="Arial" w:cs="Arial"/>
        </w:rPr>
        <w:t xml:space="preserve"> tych kryteriów i sposobu oceny ofert:</w:t>
      </w:r>
    </w:p>
    <w:p w14:paraId="2FB6B298" w14:textId="77777777" w:rsidR="00130259" w:rsidRPr="00A81694" w:rsidRDefault="00130259" w:rsidP="00342462">
      <w:pPr>
        <w:pStyle w:val="Nagwek1"/>
        <w:tabs>
          <w:tab w:val="left" w:pos="651"/>
        </w:tabs>
        <w:spacing w:line="360" w:lineRule="auto"/>
        <w:ind w:left="0"/>
        <w:rPr>
          <w:rFonts w:ascii="Arial" w:hAnsi="Arial" w:cs="Arial"/>
          <w:b w:val="0"/>
          <w:lang w:val="pl-PL"/>
        </w:rPr>
      </w:pPr>
    </w:p>
    <w:p w14:paraId="0EEE3A94" w14:textId="77777777" w:rsidR="00130259" w:rsidRPr="00A81694" w:rsidRDefault="00130259" w:rsidP="00342462">
      <w:pPr>
        <w:pStyle w:val="Nagwek1"/>
        <w:tabs>
          <w:tab w:val="left" w:pos="651"/>
        </w:tabs>
        <w:spacing w:line="360" w:lineRule="auto"/>
        <w:ind w:left="0"/>
        <w:rPr>
          <w:rFonts w:ascii="Arial" w:hAnsi="Arial" w:cs="Arial"/>
          <w:b w:val="0"/>
          <w:lang w:val="pl-PL"/>
        </w:rPr>
      </w:pPr>
      <w:r w:rsidRPr="00A81694">
        <w:rPr>
          <w:rFonts w:ascii="Arial" w:hAnsi="Arial" w:cs="Arial"/>
          <w:b w:val="0"/>
          <w:lang w:val="pl-PL"/>
        </w:rPr>
        <w:t>Kryterium oceny ofert oparte jest na systemie punktowym. W niniejszym postępowaniu oferty będą oceniane na podstawie następujących kryteriów:</w:t>
      </w:r>
    </w:p>
    <w:p w14:paraId="6449EC92" w14:textId="77777777" w:rsidR="00130259" w:rsidRPr="00A81694" w:rsidRDefault="00130259" w:rsidP="00342462">
      <w:pPr>
        <w:tabs>
          <w:tab w:val="left" w:pos="1529"/>
        </w:tabs>
        <w:spacing w:before="196" w:line="360" w:lineRule="auto"/>
        <w:ind w:right="132"/>
        <w:rPr>
          <w:rFonts w:ascii="Arial" w:hAnsi="Arial" w:cs="Arial"/>
          <w:b/>
        </w:rPr>
      </w:pPr>
      <w:r w:rsidRPr="00A81694">
        <w:rPr>
          <w:rFonts w:ascii="Arial" w:hAnsi="Arial" w:cs="Arial"/>
          <w:b/>
        </w:rPr>
        <w:t>Kryterium</w:t>
      </w:r>
      <w:r w:rsidRPr="00A81694">
        <w:rPr>
          <w:rFonts w:ascii="Arial" w:hAnsi="Arial" w:cs="Arial"/>
          <w:b/>
          <w:spacing w:val="-2"/>
        </w:rPr>
        <w:t xml:space="preserve"> </w:t>
      </w:r>
      <w:r w:rsidRPr="00A81694">
        <w:rPr>
          <w:rFonts w:ascii="Arial" w:hAnsi="Arial" w:cs="Arial"/>
          <w:b/>
        </w:rPr>
        <w:t>I:</w:t>
      </w:r>
      <w:r w:rsidRPr="00A81694">
        <w:rPr>
          <w:rFonts w:ascii="Arial" w:hAnsi="Arial" w:cs="Arial"/>
          <w:b/>
        </w:rPr>
        <w:tab/>
        <w:t>Cena</w:t>
      </w:r>
      <w:r w:rsidRPr="00A81694">
        <w:rPr>
          <w:rFonts w:ascii="Arial" w:hAnsi="Arial" w:cs="Arial"/>
          <w:b/>
          <w:spacing w:val="-2"/>
        </w:rPr>
        <w:t xml:space="preserve"> </w:t>
      </w:r>
      <w:r w:rsidRPr="00A81694">
        <w:rPr>
          <w:rFonts w:ascii="Arial" w:hAnsi="Arial" w:cs="Arial"/>
          <w:b/>
        </w:rPr>
        <w:t>oferty -</w:t>
      </w:r>
      <w:r w:rsidRPr="00A81694">
        <w:rPr>
          <w:rFonts w:ascii="Arial" w:hAnsi="Arial" w:cs="Arial"/>
        </w:rPr>
        <w:t xml:space="preserve"> </w:t>
      </w:r>
      <w:r w:rsidRPr="00A81694">
        <w:rPr>
          <w:rFonts w:ascii="Arial" w:hAnsi="Arial" w:cs="Arial"/>
          <w:b/>
        </w:rPr>
        <w:t>znaczenie:</w:t>
      </w:r>
      <w:r w:rsidRPr="00A81694">
        <w:rPr>
          <w:rFonts w:ascii="Arial" w:hAnsi="Arial" w:cs="Arial"/>
          <w:b/>
        </w:rPr>
        <w:tab/>
        <w:t>40%</w:t>
      </w:r>
    </w:p>
    <w:p w14:paraId="03058EB6" w14:textId="77777777" w:rsidR="00130259" w:rsidRPr="00A81694" w:rsidRDefault="00130259" w:rsidP="00342462">
      <w:pPr>
        <w:spacing w:before="194" w:line="360" w:lineRule="auto"/>
        <w:ind w:right="132"/>
        <w:rPr>
          <w:rFonts w:ascii="Arial" w:hAnsi="Arial" w:cs="Arial"/>
        </w:rPr>
      </w:pPr>
      <w:r w:rsidRPr="00A81694">
        <w:rPr>
          <w:rFonts w:ascii="Arial" w:hAnsi="Arial" w:cs="Arial"/>
          <w:b/>
        </w:rPr>
        <w:t>Kryterium II:   Podejście metodologiczne - znaczenie:</w:t>
      </w:r>
      <w:r w:rsidRPr="00A81694">
        <w:rPr>
          <w:rFonts w:ascii="Arial" w:hAnsi="Arial" w:cs="Arial"/>
          <w:b/>
        </w:rPr>
        <w:tab/>
        <w:t>60%</w:t>
      </w:r>
    </w:p>
    <w:p w14:paraId="07407E4A" w14:textId="77777777" w:rsidR="00130259" w:rsidRPr="00A81694" w:rsidRDefault="00130259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before="196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Sposób oceny</w:t>
      </w:r>
      <w:r w:rsidRPr="00A81694">
        <w:rPr>
          <w:rFonts w:ascii="Arial" w:hAnsi="Arial" w:cs="Arial"/>
          <w:spacing w:val="-2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503989C4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before="194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Poniższej ocenie podlegają jedynie oferty, które nie zostały</w:t>
      </w:r>
      <w:r w:rsidRPr="00A81694">
        <w:rPr>
          <w:rFonts w:ascii="Arial" w:hAnsi="Arial" w:cs="Arial"/>
          <w:spacing w:val="-31"/>
        </w:rPr>
        <w:t xml:space="preserve"> </w:t>
      </w:r>
      <w:r w:rsidRPr="00A81694">
        <w:rPr>
          <w:rFonts w:ascii="Arial" w:hAnsi="Arial" w:cs="Arial"/>
        </w:rPr>
        <w:t>odrzucone.</w:t>
      </w:r>
    </w:p>
    <w:p w14:paraId="4A670D78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Komisyjna ocena</w:t>
      </w:r>
      <w:r w:rsidRPr="00A81694">
        <w:rPr>
          <w:rFonts w:ascii="Arial" w:hAnsi="Arial" w:cs="Arial"/>
          <w:spacing w:val="-7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6E7C8703" w14:textId="77777777" w:rsidR="00C31BA5" w:rsidRPr="00A81694" w:rsidRDefault="00130259" w:rsidP="00342462">
      <w:pPr>
        <w:pStyle w:val="Nagwek1"/>
        <w:spacing w:before="9" w:line="360" w:lineRule="auto"/>
        <w:ind w:right="6753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Kryterium I: Cena oferty 40% </w:t>
      </w:r>
    </w:p>
    <w:p w14:paraId="3A5476CD" w14:textId="77777777" w:rsidR="00130259" w:rsidRPr="00A81694" w:rsidRDefault="00130259" w:rsidP="00342462">
      <w:pPr>
        <w:pStyle w:val="Tekstpodstawowy"/>
        <w:numPr>
          <w:ilvl w:val="0"/>
          <w:numId w:val="7"/>
        </w:numPr>
        <w:spacing w:line="360" w:lineRule="auto"/>
        <w:ind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Komisja wspólnie dokona oceny poszczególnych ofert w Kryterium I – stosując poniższe zasady:</w:t>
      </w:r>
    </w:p>
    <w:p w14:paraId="555E61ED" w14:textId="77777777" w:rsidR="00130259" w:rsidRPr="00A81694" w:rsidRDefault="00130259" w:rsidP="00342462">
      <w:pPr>
        <w:pStyle w:val="Tekstpodstawowy"/>
        <w:spacing w:before="196"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Oferta z najniższą ceną otrzyma 40,00 punktów, pozostałe oferty otrzymają ilość punktów wyliczoną według poniższej formuły:</w:t>
      </w:r>
    </w:p>
    <w:p w14:paraId="20DF9791" w14:textId="77777777" w:rsidR="00130259" w:rsidRPr="00A81694" w:rsidRDefault="00130259" w:rsidP="00342462">
      <w:pPr>
        <w:spacing w:before="194" w:line="360" w:lineRule="auto"/>
        <w:ind w:left="112" w:right="132"/>
        <w:rPr>
          <w:rFonts w:ascii="Arial" w:hAnsi="Arial" w:cs="Arial"/>
        </w:rPr>
      </w:pPr>
      <w:proofErr w:type="spellStart"/>
      <w:r w:rsidRPr="00A81694">
        <w:rPr>
          <w:rFonts w:ascii="Arial" w:hAnsi="Arial" w:cs="Arial"/>
          <w:b/>
        </w:rPr>
        <w:t>Xn</w:t>
      </w:r>
      <w:proofErr w:type="spellEnd"/>
      <w:r w:rsidRPr="00A81694">
        <w:rPr>
          <w:rFonts w:ascii="Arial" w:hAnsi="Arial" w:cs="Arial"/>
          <w:b/>
        </w:rPr>
        <w:t xml:space="preserve"> = (</w:t>
      </w:r>
      <w:proofErr w:type="spellStart"/>
      <w:r w:rsidRPr="00A81694">
        <w:rPr>
          <w:rFonts w:ascii="Arial" w:hAnsi="Arial" w:cs="Arial"/>
          <w:b/>
        </w:rPr>
        <w:t>Cmin</w:t>
      </w:r>
      <w:proofErr w:type="spellEnd"/>
      <w:r w:rsidRPr="00A81694">
        <w:rPr>
          <w:rFonts w:ascii="Arial" w:hAnsi="Arial" w:cs="Arial"/>
          <w:b/>
        </w:rPr>
        <w:t xml:space="preserve"> / </w:t>
      </w:r>
      <w:proofErr w:type="spellStart"/>
      <w:r w:rsidRPr="00A81694">
        <w:rPr>
          <w:rFonts w:ascii="Arial" w:hAnsi="Arial" w:cs="Arial"/>
          <w:b/>
        </w:rPr>
        <w:t>Cn</w:t>
      </w:r>
      <w:proofErr w:type="spellEnd"/>
      <w:r w:rsidRPr="00A81694">
        <w:rPr>
          <w:rFonts w:ascii="Arial" w:hAnsi="Arial" w:cs="Arial"/>
          <w:b/>
        </w:rPr>
        <w:t>) x 40</w:t>
      </w:r>
      <w:r w:rsidRPr="00A81694">
        <w:rPr>
          <w:rFonts w:ascii="Arial" w:hAnsi="Arial" w:cs="Arial"/>
        </w:rPr>
        <w:t>, gdzie:</w:t>
      </w:r>
    </w:p>
    <w:p w14:paraId="3CC660AE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Xn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ilość punktów przyznanych ocenianej ofercie;</w:t>
      </w:r>
    </w:p>
    <w:p w14:paraId="2177C63C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Cmin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najniższą cenę oferty (spośród ofert podlegających ocenie);</w:t>
      </w:r>
    </w:p>
    <w:p w14:paraId="0AFCA92B" w14:textId="77777777" w:rsidR="00130259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cenę ocenianej oferty;</w:t>
      </w:r>
    </w:p>
    <w:p w14:paraId="19F28108" w14:textId="77777777" w:rsidR="00130259" w:rsidRPr="00A81694" w:rsidRDefault="00130259" w:rsidP="00342462">
      <w:pPr>
        <w:pStyle w:val="Tekstpodstawowy"/>
        <w:spacing w:before="2"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40 </w:t>
      </w:r>
      <w:r w:rsidRPr="00A81694">
        <w:rPr>
          <w:rFonts w:ascii="Arial" w:hAnsi="Arial" w:cs="Arial"/>
          <w:lang w:val="pl-PL"/>
        </w:rPr>
        <w:t>– oznacza wagę (znaczenie tego kryterium wyrażone w punktach).</w:t>
      </w:r>
    </w:p>
    <w:p w14:paraId="72B33EE1" w14:textId="77777777" w:rsidR="00342462" w:rsidRDefault="00342462" w:rsidP="00342462">
      <w:pPr>
        <w:pStyle w:val="Tekstpodstawowy"/>
        <w:spacing w:line="292" w:lineRule="exact"/>
        <w:ind w:right="66"/>
        <w:jc w:val="center"/>
        <w:rPr>
          <w:rFonts w:ascii="Arial" w:hAnsi="Arial" w:cs="Arial"/>
          <w:sz w:val="22"/>
          <w:szCs w:val="22"/>
          <w:lang w:val="pl-PL"/>
        </w:rPr>
      </w:pPr>
    </w:p>
    <w:p w14:paraId="12CB8CF1" w14:textId="5C062481" w:rsidR="00342462" w:rsidRPr="00351E0E" w:rsidRDefault="00342462" w:rsidP="00342462">
      <w:pPr>
        <w:pStyle w:val="Tekstpodstawowy"/>
        <w:spacing w:line="292" w:lineRule="exact"/>
        <w:ind w:right="66"/>
        <w:jc w:val="center"/>
        <w:rPr>
          <w:rFonts w:ascii="Arial" w:hAnsi="Arial" w:cs="Arial"/>
          <w:sz w:val="22"/>
          <w:szCs w:val="22"/>
          <w:lang w:val="pl-PL"/>
        </w:rPr>
      </w:pPr>
      <w:r w:rsidRPr="00351E0E">
        <w:rPr>
          <w:rFonts w:ascii="Arial" w:hAnsi="Arial" w:cs="Arial"/>
          <w:sz w:val="22"/>
          <w:szCs w:val="22"/>
          <w:lang w:val="pl-PL"/>
        </w:rPr>
        <w:t>Ceną braną pod uwagę przy ocenie ofert jest CENA BRUTTO OFERTY</w:t>
      </w:r>
    </w:p>
    <w:p w14:paraId="25EAAEFA" w14:textId="19C810A8" w:rsidR="00342462" w:rsidRPr="00351E0E" w:rsidRDefault="00342462" w:rsidP="00342462">
      <w:pPr>
        <w:pStyle w:val="Tekstpodstawowy"/>
        <w:ind w:left="1528" w:right="1528"/>
        <w:jc w:val="center"/>
        <w:rPr>
          <w:rFonts w:ascii="Arial" w:hAnsi="Arial" w:cs="Arial"/>
          <w:sz w:val="22"/>
          <w:szCs w:val="22"/>
          <w:lang w:val="pl-PL"/>
        </w:rPr>
      </w:pPr>
      <w:r w:rsidRPr="00351E0E">
        <w:rPr>
          <w:rFonts w:ascii="Arial" w:hAnsi="Arial" w:cs="Arial"/>
          <w:sz w:val="22"/>
          <w:szCs w:val="22"/>
          <w:lang w:val="pl-PL"/>
        </w:rPr>
        <w:t>– cena za realizację całości zamówienia.</w:t>
      </w:r>
    </w:p>
    <w:p w14:paraId="074CE268" w14:textId="18F3CCD7" w:rsidR="00130259" w:rsidRPr="00A81694" w:rsidRDefault="00130259" w:rsidP="00342462">
      <w:pPr>
        <w:pStyle w:val="Tekstpodstawowy"/>
        <w:spacing w:before="9" w:line="360" w:lineRule="auto"/>
        <w:rPr>
          <w:rFonts w:ascii="Arial" w:hAnsi="Arial" w:cs="Arial"/>
          <w:lang w:val="pl-PL"/>
        </w:rPr>
      </w:pPr>
    </w:p>
    <w:p w14:paraId="2B9662BC" w14:textId="77777777" w:rsidR="00130259" w:rsidRPr="00A81694" w:rsidRDefault="00130259" w:rsidP="00342462">
      <w:pPr>
        <w:pStyle w:val="Tekstpodstawowy"/>
        <w:spacing w:before="5" w:line="360" w:lineRule="auto"/>
        <w:rPr>
          <w:rFonts w:ascii="Arial" w:hAnsi="Arial" w:cs="Arial"/>
          <w:lang w:val="pl-PL"/>
        </w:rPr>
      </w:pPr>
    </w:p>
    <w:p w14:paraId="43568D8E" w14:textId="77777777" w:rsidR="00130259" w:rsidRPr="00A81694" w:rsidRDefault="00130259" w:rsidP="00342462">
      <w:pPr>
        <w:pStyle w:val="Tekstpodstawowy"/>
        <w:spacing w:before="52"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► Oferta w komisyjnej ocenie oferty w kryterium I może uzyskać maksymalnie 40,00 punktów.</w:t>
      </w:r>
    </w:p>
    <w:p w14:paraId="6A815075" w14:textId="77777777" w:rsidR="00130259" w:rsidRPr="00A81694" w:rsidRDefault="00130259" w:rsidP="00342462">
      <w:pPr>
        <w:pStyle w:val="Nagwek1"/>
        <w:spacing w:before="30" w:line="360" w:lineRule="auto"/>
        <w:ind w:left="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Kryterium</w:t>
      </w:r>
      <w:r w:rsidR="006C5C63" w:rsidRPr="00A81694">
        <w:rPr>
          <w:rFonts w:ascii="Arial" w:hAnsi="Arial" w:cs="Arial"/>
          <w:lang w:val="pl-PL"/>
        </w:rPr>
        <w:t xml:space="preserve"> II: </w:t>
      </w:r>
      <w:r w:rsidRPr="00A81694">
        <w:rPr>
          <w:rFonts w:ascii="Arial" w:hAnsi="Arial" w:cs="Arial"/>
          <w:lang w:val="pl-PL"/>
        </w:rPr>
        <w:t xml:space="preserve">Podejście metodologiczne 60% </w:t>
      </w:r>
    </w:p>
    <w:p w14:paraId="7DF88A77" w14:textId="77777777" w:rsidR="00130259" w:rsidRPr="00A81694" w:rsidRDefault="00130259" w:rsidP="00342462">
      <w:pPr>
        <w:pStyle w:val="Nagwek1"/>
        <w:spacing w:before="30" w:line="360" w:lineRule="auto"/>
        <w:ind w:right="525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lastRenderedPageBreak/>
        <w:t>B1.</w:t>
      </w:r>
    </w:p>
    <w:p w14:paraId="42E501FF" w14:textId="77777777" w:rsidR="00351E0E" w:rsidRPr="00A81694" w:rsidRDefault="00130259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Indywidualnie każdy członek komisji przetargowej dokona oceny poszczególnych ofert w Kryterium</w:t>
      </w:r>
      <w:r w:rsidR="006C5C63" w:rsidRPr="00A81694">
        <w:rPr>
          <w:rFonts w:ascii="Arial" w:hAnsi="Arial" w:cs="Arial"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II – stosując poniższe zasady:</w:t>
      </w:r>
    </w:p>
    <w:p w14:paraId="668A7CC2" w14:textId="77777777" w:rsidR="006C5C63" w:rsidRPr="00A81694" w:rsidRDefault="006C5C63" w:rsidP="00342462">
      <w:pPr>
        <w:pStyle w:val="Tekstpodstawowy"/>
        <w:spacing w:line="360" w:lineRule="auto"/>
        <w:ind w:left="112" w:right="132"/>
        <w:rPr>
          <w:rFonts w:ascii="Arial" w:hAnsi="Arial" w:cs="Arial"/>
          <w:lang w:val="pl-PL"/>
        </w:rPr>
      </w:pPr>
    </w:p>
    <w:p w14:paraId="69E1189C" w14:textId="5FCA1A0E" w:rsidR="00351E0E" w:rsidRPr="00A81694" w:rsidRDefault="00130259" w:rsidP="00342462">
      <w:pPr>
        <w:pStyle w:val="Tekstpodstawowy"/>
        <w:spacing w:before="52" w:line="360" w:lineRule="auto"/>
        <w:ind w:right="111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Punkty w kryterium „Podejście metodologiczne” zostaną przyznane przez każdego członka komisji przetargowej dokonującego oceny poszczególnych ofert podlegających ocenie, </w:t>
      </w:r>
      <w:r w:rsidRPr="00A81694">
        <w:rPr>
          <w:rFonts w:ascii="Arial" w:hAnsi="Arial" w:cs="Arial"/>
          <w:lang w:val="pl-PL"/>
        </w:rPr>
        <w:br/>
        <w:t xml:space="preserve">w skali do 60 punktów. </w:t>
      </w:r>
      <w:r w:rsidR="006F2F58" w:rsidRPr="00A81694">
        <w:rPr>
          <w:rFonts w:ascii="Arial" w:hAnsi="Arial" w:cs="Arial"/>
          <w:lang w:val="pl-PL"/>
        </w:rPr>
        <w:t xml:space="preserve">Ocena zostanie dokonana na podstawie </w:t>
      </w:r>
      <w:r w:rsidR="003F6B14" w:rsidRPr="00A81694">
        <w:rPr>
          <w:rFonts w:ascii="Arial" w:hAnsi="Arial" w:cs="Arial"/>
          <w:lang w:val="pl-PL"/>
        </w:rPr>
        <w:t xml:space="preserve">opisu koncepcji opracowania ekspertyzy </w:t>
      </w:r>
      <w:r w:rsidR="00C31BA5" w:rsidRPr="00A81694">
        <w:rPr>
          <w:rFonts w:ascii="Arial" w:hAnsi="Arial" w:cs="Arial"/>
          <w:lang w:val="pl-PL"/>
        </w:rPr>
        <w:t>przedstawionego przez Wykonawcę</w:t>
      </w:r>
      <w:r w:rsidR="001C13F4" w:rsidRPr="00A81694">
        <w:rPr>
          <w:rFonts w:ascii="Arial" w:hAnsi="Arial" w:cs="Arial"/>
          <w:lang w:val="pl-PL"/>
        </w:rPr>
        <w:t>.</w:t>
      </w:r>
    </w:p>
    <w:p w14:paraId="7B79F55B" w14:textId="77777777" w:rsidR="009463AB" w:rsidRPr="00A81694" w:rsidRDefault="009463AB" w:rsidP="00342462">
      <w:pPr>
        <w:pStyle w:val="Tekstpodstawowy"/>
        <w:spacing w:before="52" w:line="360" w:lineRule="auto"/>
        <w:ind w:right="111"/>
        <w:rPr>
          <w:rFonts w:ascii="Arial" w:hAnsi="Arial" w:cs="Arial"/>
          <w:lang w:val="pl-PL"/>
        </w:rPr>
      </w:pPr>
    </w:p>
    <w:p w14:paraId="10C6985A" w14:textId="675685BE" w:rsidR="00130259" w:rsidRPr="00A81694" w:rsidRDefault="00130259" w:rsidP="00342462">
      <w:pPr>
        <w:pStyle w:val="Tekstpodstawowy"/>
        <w:spacing w:before="18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W  kryterium oceny „Podejście metodologiczne” pod uwagę będą brane następujące elementy:</w:t>
      </w:r>
    </w:p>
    <w:p w14:paraId="7D55B11F" w14:textId="2E7984E5" w:rsidR="003F6B14" w:rsidRPr="00A81694" w:rsidRDefault="006E5C0A" w:rsidP="00342462">
      <w:pPr>
        <w:pStyle w:val="Tekstpodstawowy"/>
        <w:spacing w:before="184" w:line="360" w:lineRule="auto"/>
        <w:rPr>
          <w:rFonts w:ascii="Arial" w:hAnsi="Arial" w:cs="Arial"/>
          <w:b/>
          <w:bCs/>
          <w:lang w:val="pl-PL"/>
        </w:rPr>
      </w:pPr>
      <w:r w:rsidRPr="00A81694">
        <w:rPr>
          <w:rFonts w:ascii="Arial" w:hAnsi="Arial" w:cs="Arial"/>
          <w:lang w:val="pl-PL"/>
        </w:rPr>
        <w:t xml:space="preserve">- </w:t>
      </w:r>
      <w:r w:rsidR="00591826" w:rsidRPr="00A81694">
        <w:rPr>
          <w:rFonts w:ascii="Arial" w:hAnsi="Arial" w:cs="Arial"/>
          <w:b/>
          <w:bCs/>
          <w:lang w:val="pl-PL"/>
        </w:rPr>
        <w:t>s</w:t>
      </w:r>
      <w:r w:rsidR="00A0715F" w:rsidRPr="00A81694">
        <w:rPr>
          <w:rFonts w:ascii="Arial" w:hAnsi="Arial" w:cs="Arial"/>
          <w:b/>
          <w:bCs/>
          <w:lang w:val="pl-PL"/>
        </w:rPr>
        <w:t xml:space="preserve">pójność koncepcji </w:t>
      </w:r>
      <w:r w:rsidR="00220912" w:rsidRPr="00A81694">
        <w:rPr>
          <w:rFonts w:ascii="Arial" w:hAnsi="Arial" w:cs="Arial"/>
          <w:b/>
          <w:bCs/>
          <w:lang w:val="pl-PL"/>
        </w:rPr>
        <w:t>prac nad ekspertyzą oraz stopień uszczegółowienia celów badawczych świadczące o zrozumieniu przedmiotu zamówienia, w tym powiązanie celu głównego</w:t>
      </w:r>
      <w:r w:rsidR="00D536C7" w:rsidRPr="00A81694">
        <w:rPr>
          <w:rFonts w:ascii="Arial" w:hAnsi="Arial" w:cs="Arial"/>
          <w:b/>
          <w:bCs/>
          <w:lang w:val="pl-PL"/>
        </w:rPr>
        <w:t xml:space="preserve"> </w:t>
      </w:r>
      <w:r w:rsidR="00220912" w:rsidRPr="00A81694">
        <w:rPr>
          <w:rFonts w:ascii="Arial" w:hAnsi="Arial" w:cs="Arial"/>
          <w:b/>
          <w:bCs/>
          <w:lang w:val="pl-PL"/>
        </w:rPr>
        <w:t xml:space="preserve">i celów szczegółowych z poszczególnymi etapami </w:t>
      </w:r>
      <w:r w:rsidR="00D72EA7" w:rsidRPr="00A81694">
        <w:rPr>
          <w:rFonts w:ascii="Arial" w:hAnsi="Arial" w:cs="Arial"/>
          <w:b/>
          <w:bCs/>
          <w:lang w:val="pl-PL"/>
        </w:rPr>
        <w:t>prac</w:t>
      </w:r>
      <w:r w:rsidR="00220912" w:rsidRPr="00A81694">
        <w:rPr>
          <w:rFonts w:ascii="Arial" w:hAnsi="Arial" w:cs="Arial"/>
          <w:b/>
          <w:bCs/>
          <w:lang w:val="pl-PL"/>
        </w:rPr>
        <w:t>, zaprezentowanych jako logiczny ciąg przyczynowo-skutkowy, gwarantujący prawidłową realizację koncepcj</w:t>
      </w:r>
      <w:r w:rsidR="00794440" w:rsidRPr="00A81694">
        <w:rPr>
          <w:rFonts w:ascii="Arial" w:hAnsi="Arial" w:cs="Arial"/>
          <w:b/>
          <w:bCs/>
          <w:lang w:val="pl-PL"/>
        </w:rPr>
        <w:t>i</w:t>
      </w:r>
      <w:r w:rsidR="00220912" w:rsidRPr="00A81694">
        <w:rPr>
          <w:rFonts w:ascii="Arial" w:hAnsi="Arial" w:cs="Arial"/>
          <w:b/>
          <w:bCs/>
          <w:lang w:val="pl-PL"/>
        </w:rPr>
        <w:t>, wraz z uzasadnieniem zaproponowanego podejścia badawczego</w:t>
      </w:r>
      <w:r w:rsidR="00D72EA7" w:rsidRPr="00A81694">
        <w:rPr>
          <w:rFonts w:ascii="Arial" w:hAnsi="Arial" w:cs="Arial"/>
          <w:b/>
          <w:bCs/>
          <w:lang w:val="pl-PL"/>
        </w:rPr>
        <w:t xml:space="preserve"> </w:t>
      </w:r>
      <w:r w:rsidR="00034CCE" w:rsidRPr="00A81694">
        <w:rPr>
          <w:rFonts w:ascii="Arial" w:hAnsi="Arial" w:cs="Arial"/>
          <w:b/>
          <w:bCs/>
          <w:lang w:val="pl-PL"/>
        </w:rPr>
        <w:t>(</w:t>
      </w:r>
      <w:r w:rsidR="002B29D9" w:rsidRPr="00A81694">
        <w:rPr>
          <w:rFonts w:ascii="Arial" w:hAnsi="Arial" w:cs="Arial"/>
          <w:b/>
          <w:bCs/>
          <w:lang w:val="pl-PL"/>
        </w:rPr>
        <w:t>łącznie</w:t>
      </w:r>
      <w:r w:rsidR="00034CCE" w:rsidRPr="00A81694">
        <w:rPr>
          <w:rFonts w:ascii="Arial" w:hAnsi="Arial" w:cs="Arial"/>
          <w:b/>
          <w:bCs/>
          <w:lang w:val="pl-PL"/>
        </w:rPr>
        <w:t xml:space="preserve"> do </w:t>
      </w:r>
      <w:r w:rsidR="00565EC5" w:rsidRPr="00A81694">
        <w:rPr>
          <w:rFonts w:ascii="Arial" w:hAnsi="Arial" w:cs="Arial"/>
          <w:b/>
          <w:bCs/>
          <w:lang w:val="pl-PL"/>
        </w:rPr>
        <w:t>54</w:t>
      </w:r>
      <w:r w:rsidR="00034CCE" w:rsidRPr="00A81694">
        <w:rPr>
          <w:rFonts w:ascii="Arial" w:hAnsi="Arial" w:cs="Arial"/>
          <w:b/>
          <w:bCs/>
          <w:lang w:val="pl-PL"/>
        </w:rPr>
        <w:t xml:space="preserve"> punktów).</w:t>
      </w:r>
    </w:p>
    <w:p w14:paraId="12919ABB" w14:textId="7F565B8C" w:rsidR="00130259" w:rsidRPr="00A81694" w:rsidRDefault="00130259" w:rsidP="00342462">
      <w:pPr>
        <w:pStyle w:val="Tekstpodstawowy"/>
        <w:spacing w:before="196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u w:val="single"/>
          <w:lang w:val="pl-PL"/>
        </w:rPr>
        <w:t>Sposób oceny:</w:t>
      </w:r>
    </w:p>
    <w:p w14:paraId="76E9ACE8" w14:textId="22E8A5B0" w:rsidR="00130259" w:rsidRPr="00A81694" w:rsidRDefault="00565EC5" w:rsidP="00342462">
      <w:pPr>
        <w:pStyle w:val="Tekstpodstawowy"/>
        <w:spacing w:line="360" w:lineRule="auto"/>
        <w:ind w:right="114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>1</w:t>
      </w:r>
      <w:r w:rsidR="00130259" w:rsidRPr="00A81694">
        <w:rPr>
          <w:rFonts w:ascii="Arial" w:hAnsi="Arial" w:cs="Arial"/>
          <w:b/>
          <w:lang w:val="pl-PL"/>
        </w:rPr>
        <w:t xml:space="preserve">  pkt. </w:t>
      </w:r>
      <w:r w:rsidR="00130259" w:rsidRPr="00A81694">
        <w:rPr>
          <w:rFonts w:ascii="Arial" w:hAnsi="Arial" w:cs="Arial"/>
          <w:lang w:val="pl-PL"/>
        </w:rPr>
        <w:t>- brak lub niedostateczna logika</w:t>
      </w:r>
      <w:r w:rsidR="00DB3180" w:rsidRPr="00A81694">
        <w:rPr>
          <w:rFonts w:ascii="Arial" w:hAnsi="Arial" w:cs="Arial"/>
          <w:lang w:val="pl-PL"/>
        </w:rPr>
        <w:t xml:space="preserve"> </w:t>
      </w:r>
      <w:r w:rsidR="009F68F2" w:rsidRPr="00A81694">
        <w:rPr>
          <w:rFonts w:ascii="Arial" w:hAnsi="Arial" w:cs="Arial"/>
          <w:lang w:val="pl-PL"/>
        </w:rPr>
        <w:t>założeń</w:t>
      </w:r>
      <w:r w:rsidR="00130259" w:rsidRPr="00A81694">
        <w:rPr>
          <w:rFonts w:ascii="Arial" w:hAnsi="Arial" w:cs="Arial"/>
          <w:lang w:val="pl-PL"/>
        </w:rPr>
        <w:t xml:space="preserve">, </w:t>
      </w:r>
      <w:r w:rsidR="009F68F2" w:rsidRPr="00A81694">
        <w:rPr>
          <w:rFonts w:ascii="Arial" w:hAnsi="Arial" w:cs="Arial"/>
          <w:lang w:val="pl-PL"/>
        </w:rPr>
        <w:t>niedostateczne</w:t>
      </w:r>
      <w:r w:rsidR="00130259" w:rsidRPr="00A81694">
        <w:rPr>
          <w:rFonts w:ascii="Arial" w:hAnsi="Arial" w:cs="Arial"/>
          <w:lang w:val="pl-PL"/>
        </w:rPr>
        <w:t xml:space="preserve"> uszczegółowieni</w:t>
      </w:r>
      <w:r w:rsidR="009F68F2" w:rsidRPr="00A81694">
        <w:rPr>
          <w:rFonts w:ascii="Arial" w:hAnsi="Arial" w:cs="Arial"/>
          <w:lang w:val="pl-PL"/>
        </w:rPr>
        <w:t>e</w:t>
      </w:r>
      <w:r w:rsidR="00130259" w:rsidRPr="00A81694">
        <w:rPr>
          <w:rFonts w:ascii="Arial" w:hAnsi="Arial" w:cs="Arial"/>
          <w:lang w:val="pl-PL"/>
        </w:rPr>
        <w:t xml:space="preserve"> celów szczegółowych</w:t>
      </w:r>
      <w:r w:rsidR="009F68F2" w:rsidRPr="00A81694">
        <w:rPr>
          <w:rFonts w:ascii="Arial" w:hAnsi="Arial" w:cs="Arial"/>
          <w:lang w:val="pl-PL"/>
        </w:rPr>
        <w:t>,</w:t>
      </w:r>
      <w:r w:rsidR="00130259" w:rsidRPr="00A81694">
        <w:rPr>
          <w:rFonts w:ascii="Arial" w:hAnsi="Arial" w:cs="Arial"/>
          <w:lang w:val="pl-PL"/>
        </w:rPr>
        <w:t xml:space="preserve"> czytelność powiązania celu głównego i celów szczegółowych z</w:t>
      </w:r>
      <w:r w:rsidR="00CD3B60" w:rsidRPr="00A81694">
        <w:rPr>
          <w:rFonts w:ascii="Arial" w:hAnsi="Arial" w:cs="Arial"/>
          <w:lang w:val="pl-PL"/>
        </w:rPr>
        <w:t> </w:t>
      </w:r>
      <w:r w:rsidR="00130259" w:rsidRPr="00A81694">
        <w:rPr>
          <w:rFonts w:ascii="Arial" w:hAnsi="Arial" w:cs="Arial"/>
          <w:lang w:val="pl-PL"/>
        </w:rPr>
        <w:t xml:space="preserve">poszczególnymi etapami </w:t>
      </w:r>
      <w:r w:rsidR="00D471E2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analizą i wnioskowaniem z</w:t>
      </w:r>
      <w:r w:rsidR="00D471E2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DB3180" w:rsidRPr="00A81694">
        <w:rPr>
          <w:rFonts w:ascii="Arial" w:hAnsi="Arial" w:cs="Arial"/>
          <w:lang w:val="pl-PL"/>
        </w:rPr>
        <w:t xml:space="preserve"> nie </w:t>
      </w:r>
      <w:r w:rsidR="00130259" w:rsidRPr="00A81694">
        <w:rPr>
          <w:rFonts w:ascii="Arial" w:hAnsi="Arial" w:cs="Arial"/>
          <w:lang w:val="pl-PL"/>
        </w:rPr>
        <w:t>gwarantuj</w:t>
      </w:r>
      <w:r w:rsidR="009F68F2" w:rsidRPr="00A81694">
        <w:rPr>
          <w:rFonts w:ascii="Arial" w:hAnsi="Arial" w:cs="Arial"/>
          <w:lang w:val="pl-PL"/>
        </w:rPr>
        <w:t>ąca</w:t>
      </w:r>
      <w:r w:rsidR="00130259" w:rsidRPr="00A81694">
        <w:rPr>
          <w:rFonts w:ascii="Arial" w:hAnsi="Arial" w:cs="Arial"/>
          <w:lang w:val="pl-PL"/>
        </w:rPr>
        <w:t xml:space="preserve"> realizacj</w:t>
      </w:r>
      <w:r w:rsidR="009F68F2" w:rsidRPr="00A81694">
        <w:rPr>
          <w:rFonts w:ascii="Arial" w:hAnsi="Arial" w:cs="Arial"/>
          <w:lang w:val="pl-PL"/>
        </w:rPr>
        <w:t>i</w:t>
      </w:r>
      <w:r w:rsidR="00130259" w:rsidRPr="00A81694">
        <w:rPr>
          <w:rFonts w:ascii="Arial" w:hAnsi="Arial" w:cs="Arial"/>
          <w:lang w:val="pl-PL"/>
        </w:rPr>
        <w:t xml:space="preserve"> koncepcji </w:t>
      </w:r>
      <w:r w:rsidRPr="00A81694">
        <w:rPr>
          <w:rFonts w:ascii="Arial" w:hAnsi="Arial" w:cs="Arial"/>
          <w:lang w:val="pl-PL"/>
        </w:rPr>
        <w:t>ekspertyzy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DB3180" w:rsidRPr="00A81694">
        <w:rPr>
          <w:rFonts w:ascii="Arial" w:hAnsi="Arial" w:cs="Arial"/>
          <w:lang w:val="pl-PL"/>
        </w:rPr>
        <w:t xml:space="preserve">i/ </w:t>
      </w:r>
      <w:r w:rsidR="00130259" w:rsidRPr="00A81694">
        <w:rPr>
          <w:rFonts w:ascii="Arial" w:hAnsi="Arial" w:cs="Arial"/>
          <w:lang w:val="pl-PL"/>
        </w:rPr>
        <w:t>lub niedostateczne uzasadnienie zaproponowanego podejścia badawczego,</w:t>
      </w:r>
    </w:p>
    <w:p w14:paraId="7D9B2A3A" w14:textId="031B7D07" w:rsidR="00130259" w:rsidRPr="00A81694" w:rsidRDefault="007D1DFE" w:rsidP="00342462">
      <w:pPr>
        <w:pStyle w:val="Tekstpodstawowy"/>
        <w:spacing w:line="360" w:lineRule="auto"/>
        <w:ind w:right="108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>1</w:t>
      </w:r>
      <w:r w:rsidR="00732795" w:rsidRPr="00A81694">
        <w:rPr>
          <w:rFonts w:ascii="Arial" w:hAnsi="Arial" w:cs="Arial"/>
          <w:b/>
          <w:lang w:val="pl-PL"/>
        </w:rPr>
        <w:t>3</w:t>
      </w:r>
      <w:r w:rsidR="00C31BA5" w:rsidRPr="00A81694">
        <w:rPr>
          <w:rFonts w:ascii="Arial" w:hAnsi="Arial" w:cs="Arial"/>
          <w:b/>
          <w:lang w:val="pl-PL"/>
        </w:rPr>
        <w:t xml:space="preserve"> </w:t>
      </w:r>
      <w:r w:rsidR="00130259" w:rsidRPr="00A81694">
        <w:rPr>
          <w:rFonts w:ascii="Arial" w:hAnsi="Arial" w:cs="Arial"/>
          <w:b/>
          <w:lang w:val="pl-PL"/>
        </w:rPr>
        <w:t xml:space="preserve">pkt.  </w:t>
      </w:r>
      <w:r w:rsidR="00130259" w:rsidRPr="00A81694">
        <w:rPr>
          <w:rFonts w:ascii="Arial" w:hAnsi="Arial" w:cs="Arial"/>
          <w:lang w:val="pl-PL"/>
        </w:rPr>
        <w:t>– dostateczna logika</w:t>
      </w:r>
      <w:r w:rsidR="00DB3180" w:rsidRPr="00A81694">
        <w:rPr>
          <w:rFonts w:ascii="Arial" w:hAnsi="Arial" w:cs="Arial"/>
          <w:lang w:val="pl-PL"/>
        </w:rPr>
        <w:t xml:space="preserve"> </w:t>
      </w:r>
      <w:r w:rsidR="009F68F2" w:rsidRPr="00A81694">
        <w:rPr>
          <w:rFonts w:ascii="Arial" w:hAnsi="Arial" w:cs="Arial"/>
          <w:lang w:val="pl-PL"/>
        </w:rPr>
        <w:t>założeń</w:t>
      </w:r>
      <w:r w:rsidR="00130259" w:rsidRPr="00A81694">
        <w:rPr>
          <w:rFonts w:ascii="Arial" w:hAnsi="Arial" w:cs="Arial"/>
          <w:lang w:val="pl-PL"/>
        </w:rPr>
        <w:t xml:space="preserve">, </w:t>
      </w:r>
      <w:r w:rsidR="009F68F2" w:rsidRPr="00A81694">
        <w:rPr>
          <w:rFonts w:ascii="Arial" w:hAnsi="Arial" w:cs="Arial"/>
          <w:lang w:val="pl-PL"/>
        </w:rPr>
        <w:t>dostateczne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 xml:space="preserve">pogłębienie </w:t>
      </w:r>
      <w:r w:rsidR="00130259" w:rsidRPr="00A81694">
        <w:rPr>
          <w:rFonts w:ascii="Arial" w:hAnsi="Arial" w:cs="Arial"/>
          <w:lang w:val="pl-PL"/>
        </w:rPr>
        <w:t>celów szczegółowych</w:t>
      </w:r>
      <w:r w:rsidR="009F68F2" w:rsidRPr="00A81694">
        <w:rPr>
          <w:rFonts w:ascii="Arial" w:hAnsi="Arial" w:cs="Arial"/>
          <w:lang w:val="pl-PL"/>
        </w:rPr>
        <w:t>, wystarczająca</w:t>
      </w:r>
      <w:r w:rsidR="00130259" w:rsidRPr="00A81694">
        <w:rPr>
          <w:rFonts w:ascii="Arial" w:hAnsi="Arial" w:cs="Arial"/>
          <w:lang w:val="pl-PL"/>
        </w:rPr>
        <w:t xml:space="preserve"> czytelność powiązania celu głównego i celów</w:t>
      </w:r>
      <w:r w:rsidR="00565EC5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>szczegółowych  z</w:t>
      </w:r>
      <w:r w:rsidR="00CD3B60" w:rsidRPr="00A81694">
        <w:rPr>
          <w:rFonts w:ascii="Arial" w:hAnsi="Arial" w:cs="Arial"/>
          <w:lang w:val="pl-PL"/>
        </w:rPr>
        <w:t> </w:t>
      </w:r>
      <w:r w:rsidR="00130259" w:rsidRPr="00A81694">
        <w:rPr>
          <w:rFonts w:ascii="Arial" w:hAnsi="Arial" w:cs="Arial"/>
          <w:lang w:val="pl-PL"/>
        </w:rPr>
        <w:t xml:space="preserve">poszczególnymi etapami </w:t>
      </w:r>
      <w:r w:rsidR="00D624AD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analizą i wnioskowaniem z</w:t>
      </w:r>
      <w:r w:rsidR="00F167DA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130259" w:rsidRPr="00A81694">
        <w:rPr>
          <w:rFonts w:ascii="Arial" w:hAnsi="Arial" w:cs="Arial"/>
          <w:lang w:val="pl-PL"/>
        </w:rPr>
        <w:t>, pomiędzy którymi zachodzi związek przyczynowo-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>skutkowy oraz dostateczne uzasadnienie zaproponowanego podejścia badawczego zapewniające wystarczającą wykonalność koncepcji</w:t>
      </w:r>
      <w:r w:rsidR="00130259" w:rsidRPr="00A81694">
        <w:rPr>
          <w:rFonts w:ascii="Arial" w:hAnsi="Arial" w:cs="Arial"/>
          <w:spacing w:val="-13"/>
          <w:lang w:val="pl-PL"/>
        </w:rPr>
        <w:t xml:space="preserve"> </w:t>
      </w:r>
      <w:r w:rsidR="0030493D" w:rsidRPr="00A81694">
        <w:rPr>
          <w:rFonts w:ascii="Arial" w:hAnsi="Arial" w:cs="Arial"/>
          <w:lang w:val="pl-PL"/>
        </w:rPr>
        <w:t>opracowania ekspertyzy</w:t>
      </w:r>
      <w:r w:rsidR="00130259" w:rsidRPr="00A81694">
        <w:rPr>
          <w:rFonts w:ascii="Arial" w:hAnsi="Arial" w:cs="Arial"/>
          <w:lang w:val="pl-PL"/>
        </w:rPr>
        <w:t>,</w:t>
      </w:r>
    </w:p>
    <w:p w14:paraId="44AFED47" w14:textId="3341F431" w:rsidR="00130259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lastRenderedPageBreak/>
        <w:t>26</w:t>
      </w:r>
      <w:r w:rsidR="00130259" w:rsidRPr="00A81694">
        <w:rPr>
          <w:rFonts w:ascii="Arial" w:hAnsi="Arial" w:cs="Arial"/>
          <w:b/>
          <w:lang w:val="pl-PL"/>
        </w:rPr>
        <w:t xml:space="preserve"> pkt. </w:t>
      </w:r>
      <w:r w:rsidR="00130259" w:rsidRPr="00A81694">
        <w:rPr>
          <w:rFonts w:ascii="Arial" w:hAnsi="Arial" w:cs="Arial"/>
          <w:lang w:val="pl-PL"/>
        </w:rPr>
        <w:t xml:space="preserve">– dobra </w:t>
      </w:r>
      <w:r w:rsidR="009F68F2" w:rsidRPr="00A81694">
        <w:rPr>
          <w:rFonts w:ascii="Arial" w:hAnsi="Arial" w:cs="Arial"/>
          <w:lang w:val="pl-PL"/>
        </w:rPr>
        <w:t>logika założeń</w:t>
      </w:r>
      <w:r w:rsidR="00130259" w:rsidRPr="00A81694">
        <w:rPr>
          <w:rFonts w:ascii="Arial" w:hAnsi="Arial" w:cs="Arial"/>
          <w:lang w:val="pl-PL"/>
        </w:rPr>
        <w:t>,</w:t>
      </w:r>
      <w:r w:rsidR="009F68F2" w:rsidRPr="00A81694">
        <w:rPr>
          <w:rFonts w:ascii="Arial" w:hAnsi="Arial" w:cs="Arial"/>
          <w:lang w:val="pl-PL"/>
        </w:rPr>
        <w:t xml:space="preserve"> dobre</w:t>
      </w:r>
      <w:r w:rsidR="00130259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 xml:space="preserve">pogłębienie </w:t>
      </w:r>
      <w:r w:rsidR="00130259" w:rsidRPr="00A81694">
        <w:rPr>
          <w:rFonts w:ascii="Arial" w:hAnsi="Arial" w:cs="Arial"/>
          <w:lang w:val="pl-PL"/>
        </w:rPr>
        <w:t>celów szczegółowych i czytelność powiązania celu głównego oraz celów szczegółowych</w:t>
      </w:r>
      <w:r w:rsidR="009463AB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 xml:space="preserve">z poszczególnymi etapami </w:t>
      </w:r>
      <w:r w:rsidR="00D624AD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</w:t>
      </w:r>
      <w:r w:rsidR="00CD3B60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tym źródłami danych, analizą i wnioskowaniem z</w:t>
      </w:r>
      <w:r w:rsidR="00CD3B60" w:rsidRPr="00A81694">
        <w:rPr>
          <w:rFonts w:ascii="Arial" w:hAnsi="Arial" w:cs="Arial"/>
          <w:lang w:val="pl-PL"/>
        </w:rPr>
        <w:t> </w:t>
      </w:r>
      <w:r w:rsidR="00685417" w:rsidRPr="00A81694">
        <w:rPr>
          <w:rFonts w:ascii="Arial" w:hAnsi="Arial" w:cs="Arial"/>
          <w:lang w:val="pl-PL"/>
        </w:rPr>
        <w:t>uwzględnieniem kontekstu naukowo-badawczego)</w:t>
      </w:r>
      <w:r w:rsidR="00130259" w:rsidRPr="00A81694">
        <w:rPr>
          <w:rFonts w:ascii="Arial" w:hAnsi="Arial" w:cs="Arial"/>
          <w:lang w:val="pl-PL"/>
        </w:rPr>
        <w:t>, pomiędzy którymi zachodzi związek przyczynowo-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130259" w:rsidRPr="00A81694">
        <w:rPr>
          <w:rFonts w:ascii="Arial" w:hAnsi="Arial" w:cs="Arial"/>
          <w:lang w:val="pl-PL"/>
        </w:rPr>
        <w:t xml:space="preserve">skutkowy oraz </w:t>
      </w:r>
      <w:r w:rsidR="00685417" w:rsidRPr="00A81694">
        <w:rPr>
          <w:rFonts w:ascii="Arial" w:hAnsi="Arial" w:cs="Arial"/>
          <w:lang w:val="pl-PL"/>
        </w:rPr>
        <w:t>dobre</w:t>
      </w:r>
      <w:r w:rsidR="00130259" w:rsidRPr="00A81694">
        <w:rPr>
          <w:rFonts w:ascii="Arial" w:hAnsi="Arial" w:cs="Arial"/>
          <w:lang w:val="pl-PL"/>
        </w:rPr>
        <w:t xml:space="preserve"> uzasadnienie zaproponowanego podejścia badawczego, zapewniające</w:t>
      </w:r>
      <w:r w:rsidR="00685417" w:rsidRPr="00A81694">
        <w:rPr>
          <w:rFonts w:ascii="Arial" w:hAnsi="Arial" w:cs="Arial"/>
          <w:lang w:val="pl-PL"/>
        </w:rPr>
        <w:t xml:space="preserve"> prawidłową realizację </w:t>
      </w:r>
      <w:r w:rsidR="00130259" w:rsidRPr="00A81694">
        <w:rPr>
          <w:rFonts w:ascii="Arial" w:hAnsi="Arial" w:cs="Arial"/>
          <w:lang w:val="pl-PL"/>
        </w:rPr>
        <w:t xml:space="preserve">koncepcji </w:t>
      </w:r>
      <w:r w:rsidR="0030493D" w:rsidRPr="00A81694">
        <w:rPr>
          <w:rFonts w:ascii="Arial" w:hAnsi="Arial" w:cs="Arial"/>
          <w:lang w:val="pl-PL"/>
        </w:rPr>
        <w:t>opracowania ekspertyzy</w:t>
      </w:r>
      <w:r w:rsidR="00DB3180" w:rsidRPr="00A81694">
        <w:rPr>
          <w:rFonts w:ascii="Arial" w:hAnsi="Arial" w:cs="Arial"/>
          <w:lang w:val="pl-PL"/>
        </w:rPr>
        <w:t>,</w:t>
      </w:r>
    </w:p>
    <w:p w14:paraId="2C2EA086" w14:textId="0A148E5F" w:rsidR="009F68F2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bCs/>
          <w:lang w:val="pl-PL"/>
        </w:rPr>
        <w:t>40</w:t>
      </w:r>
      <w:r w:rsidR="009F68F2" w:rsidRPr="00A81694">
        <w:rPr>
          <w:rFonts w:ascii="Arial" w:hAnsi="Arial" w:cs="Arial"/>
          <w:b/>
          <w:bCs/>
          <w:lang w:val="pl-PL"/>
        </w:rPr>
        <w:t xml:space="preserve"> pkt.</w:t>
      </w:r>
      <w:r w:rsidR="00685417" w:rsidRPr="00A81694">
        <w:rPr>
          <w:rFonts w:ascii="Arial" w:hAnsi="Arial" w:cs="Arial"/>
          <w:lang w:val="pl-PL"/>
        </w:rPr>
        <w:t xml:space="preserve"> –</w:t>
      </w:r>
      <w:r w:rsidR="009F68F2" w:rsidRPr="00A81694">
        <w:rPr>
          <w:rFonts w:ascii="Arial" w:hAnsi="Arial" w:cs="Arial"/>
          <w:lang w:val="pl-PL"/>
        </w:rPr>
        <w:t xml:space="preserve"> bardzo dobra logika założeń, </w:t>
      </w:r>
      <w:r w:rsidR="00565EC5" w:rsidRPr="00A81694">
        <w:rPr>
          <w:rFonts w:ascii="Arial" w:hAnsi="Arial" w:cs="Arial"/>
          <w:lang w:val="pl-PL"/>
        </w:rPr>
        <w:t>dokładne</w:t>
      </w:r>
      <w:r w:rsidR="00685417" w:rsidRPr="00A81694">
        <w:rPr>
          <w:rFonts w:ascii="Arial" w:hAnsi="Arial" w:cs="Arial"/>
          <w:lang w:val="pl-PL"/>
        </w:rPr>
        <w:t xml:space="preserve"> </w:t>
      </w:r>
      <w:r w:rsidR="00565EC5" w:rsidRPr="00A81694">
        <w:rPr>
          <w:rFonts w:ascii="Arial" w:hAnsi="Arial" w:cs="Arial"/>
          <w:lang w:val="pl-PL"/>
        </w:rPr>
        <w:t>pogłębienie</w:t>
      </w:r>
      <w:r w:rsidR="00685417" w:rsidRPr="00A81694">
        <w:rPr>
          <w:rFonts w:ascii="Arial" w:hAnsi="Arial" w:cs="Arial"/>
          <w:lang w:val="pl-PL"/>
        </w:rPr>
        <w:t xml:space="preserve"> celów szczegółowych, bardzo dobra czytelność powiązania celu głównego i celów szczegółowych z poszczególnymi etapami </w:t>
      </w:r>
      <w:r w:rsidR="006E5C0A" w:rsidRPr="00A81694">
        <w:rPr>
          <w:rFonts w:ascii="Arial" w:hAnsi="Arial" w:cs="Arial"/>
          <w:lang w:val="pl-PL"/>
        </w:rPr>
        <w:t>prac</w:t>
      </w:r>
      <w:r w:rsidR="00685417" w:rsidRPr="00A81694">
        <w:rPr>
          <w:rFonts w:ascii="Arial" w:hAnsi="Arial" w:cs="Arial"/>
          <w:lang w:val="pl-PL"/>
        </w:rPr>
        <w:t xml:space="preserve"> (w tym źródłami danych, metodami i technikami badawczymi, analizą i wnioskowaniem z uwzględnieniem kontekstu naukowo-badawczego), pomiędzy którymi zachodzi związek przyczynowo- skutkowy oraz </w:t>
      </w:r>
      <w:r w:rsidR="00565EC5" w:rsidRPr="00A81694">
        <w:rPr>
          <w:rFonts w:ascii="Arial" w:hAnsi="Arial" w:cs="Arial"/>
          <w:lang w:val="pl-PL"/>
        </w:rPr>
        <w:t>dokładne</w:t>
      </w:r>
      <w:r w:rsidR="00685417" w:rsidRPr="00A81694">
        <w:rPr>
          <w:rFonts w:ascii="Arial" w:hAnsi="Arial" w:cs="Arial"/>
          <w:lang w:val="pl-PL"/>
        </w:rPr>
        <w:t xml:space="preserve"> uzasadnienie zaproponowanego podejścia badawczego, zapewniające optymalną realizację koncepcji </w:t>
      </w:r>
      <w:r w:rsidR="006E5C0A" w:rsidRPr="00A81694">
        <w:rPr>
          <w:rFonts w:ascii="Arial" w:hAnsi="Arial" w:cs="Arial"/>
          <w:lang w:val="pl-PL"/>
        </w:rPr>
        <w:t>opracowania ekspertyzy.</w:t>
      </w:r>
    </w:p>
    <w:p w14:paraId="64CA3D4E" w14:textId="537BE3AC" w:rsidR="00565EC5" w:rsidRPr="00A81694" w:rsidRDefault="00732795" w:rsidP="00342462">
      <w:pPr>
        <w:pStyle w:val="Tekstpodstawowy"/>
        <w:spacing w:line="360" w:lineRule="auto"/>
        <w:ind w:right="116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bCs/>
          <w:lang w:val="pl-PL"/>
        </w:rPr>
        <w:t>54 pkt.</w:t>
      </w:r>
      <w:r w:rsidRPr="00A81694">
        <w:rPr>
          <w:rFonts w:ascii="Arial" w:hAnsi="Arial" w:cs="Arial"/>
          <w:lang w:val="pl-PL"/>
        </w:rPr>
        <w:t xml:space="preserve"> – wyczerpująca logika założeń i pogłębienie celów szczegółowych, a także czytelność powiązania celu głównego i celów szczegółowych z poszczególnymi etapami prac (w tym źródłami danych, metodami i technikami badawczymi, analizą i wnioskowaniem z uwzględnieniem kontekstu naukowo-badawczego), pomiędzy którymi zachodzi związek przyczynowo- skutkowy oraz wyczerpujące uzasadnienie zaproponowanego podejścia badawczego, wykraczające znacznie poza zapisy Szczegółowego opisu przedmiotu zamówienia zapewniające kompleksową realizację koncepcji ekspertyzy.</w:t>
      </w:r>
    </w:p>
    <w:p w14:paraId="2C05CCAA" w14:textId="5C8A48BE" w:rsidR="00130259" w:rsidRPr="00A81694" w:rsidRDefault="00130259" w:rsidP="00342462">
      <w:pPr>
        <w:pStyle w:val="Nagwek1"/>
        <w:spacing w:before="196" w:line="360" w:lineRule="auto"/>
        <w:ind w:left="0" w:right="12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- zidentyfikowanie potencjalnych obszarów ryzyka, mogących wystąpić w trakcie realizacji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(łącznie do </w:t>
      </w:r>
      <w:r w:rsidR="00806D22" w:rsidRPr="00A81694">
        <w:rPr>
          <w:rFonts w:ascii="Arial" w:hAnsi="Arial" w:cs="Arial"/>
          <w:lang w:val="pl-PL"/>
        </w:rPr>
        <w:t>6</w:t>
      </w:r>
      <w:r w:rsidRPr="00A81694">
        <w:rPr>
          <w:rFonts w:ascii="Arial" w:hAnsi="Arial" w:cs="Arial"/>
          <w:lang w:val="pl-PL"/>
        </w:rPr>
        <w:t xml:space="preserve"> pkt.)</w:t>
      </w:r>
    </w:p>
    <w:p w14:paraId="75896D59" w14:textId="284BCCFF" w:rsidR="00130259" w:rsidRPr="00A81694" w:rsidRDefault="00130259" w:rsidP="00342462">
      <w:pPr>
        <w:pStyle w:val="Tekstpodstawowy"/>
        <w:spacing w:before="194" w:line="360" w:lineRule="auto"/>
        <w:ind w:right="117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zidentyfikowanie potencjalnych obszarów ryzyka, mogących wystąpić w trakcie realizacji 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oraz zaproponowanie środków je minimalizujących i wpływających na poprawę precyzji i rzetelności badania </w:t>
      </w:r>
      <w:r w:rsidRPr="00A81694">
        <w:rPr>
          <w:rFonts w:ascii="Arial" w:hAnsi="Arial" w:cs="Arial"/>
          <w:b/>
          <w:lang w:val="pl-PL"/>
        </w:rPr>
        <w:t xml:space="preserve">(od 0 do </w:t>
      </w:r>
      <w:r w:rsidR="00806D22" w:rsidRPr="00A81694">
        <w:rPr>
          <w:rFonts w:ascii="Arial" w:hAnsi="Arial" w:cs="Arial"/>
          <w:b/>
          <w:lang w:val="pl-PL"/>
        </w:rPr>
        <w:t>6</w:t>
      </w:r>
      <w:r w:rsidRPr="00A81694">
        <w:rPr>
          <w:rFonts w:ascii="Arial" w:hAnsi="Arial" w:cs="Arial"/>
          <w:b/>
          <w:spacing w:val="-15"/>
          <w:lang w:val="pl-PL"/>
        </w:rPr>
        <w:t xml:space="preserve"> </w:t>
      </w:r>
      <w:r w:rsidRPr="00A81694">
        <w:rPr>
          <w:rFonts w:ascii="Arial" w:hAnsi="Arial" w:cs="Arial"/>
          <w:b/>
          <w:lang w:val="pl-PL"/>
        </w:rPr>
        <w:t>pkt.)</w:t>
      </w:r>
    </w:p>
    <w:p w14:paraId="3434D622" w14:textId="77777777" w:rsidR="00130259" w:rsidRPr="00A81694" w:rsidRDefault="00130259" w:rsidP="00342462">
      <w:pPr>
        <w:pStyle w:val="Tekstpodstawowy"/>
        <w:spacing w:before="19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u w:val="single"/>
          <w:lang w:val="pl-PL"/>
        </w:rPr>
        <w:t>Sposób oceny:</w:t>
      </w:r>
    </w:p>
    <w:p w14:paraId="6A07B848" w14:textId="1658DC75" w:rsidR="00130259" w:rsidRPr="00A81694" w:rsidRDefault="00130259" w:rsidP="00342462">
      <w:pPr>
        <w:pStyle w:val="Tekstpodstawowy"/>
        <w:spacing w:line="360" w:lineRule="auto"/>
        <w:ind w:right="107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Zamawiający przyzna po </w:t>
      </w:r>
      <w:r w:rsidR="00806D22" w:rsidRPr="00A81694">
        <w:rPr>
          <w:rFonts w:ascii="Arial" w:hAnsi="Arial" w:cs="Arial"/>
          <w:b/>
          <w:lang w:val="pl-PL"/>
        </w:rPr>
        <w:t>3</w:t>
      </w:r>
      <w:r w:rsidRPr="00A81694">
        <w:rPr>
          <w:rFonts w:ascii="Arial" w:hAnsi="Arial" w:cs="Arial"/>
          <w:b/>
          <w:lang w:val="pl-PL"/>
        </w:rPr>
        <w:t xml:space="preserve"> punkty</w:t>
      </w:r>
      <w:r w:rsidRPr="00A81694">
        <w:rPr>
          <w:rFonts w:ascii="Arial" w:hAnsi="Arial" w:cs="Arial"/>
          <w:lang w:val="pl-PL"/>
        </w:rPr>
        <w:t xml:space="preserve"> za każdy zidentyfikowany i uzasadniony obszar ryzyka mogący wystąpić w trakcie </w:t>
      </w:r>
      <w:r w:rsidR="00DB3FFC" w:rsidRPr="00A81694">
        <w:rPr>
          <w:rFonts w:ascii="Arial" w:hAnsi="Arial" w:cs="Arial"/>
          <w:lang w:val="pl-PL"/>
        </w:rPr>
        <w:t>opracowywania</w:t>
      </w:r>
      <w:r w:rsidRPr="00A81694">
        <w:rPr>
          <w:rFonts w:ascii="Arial" w:hAnsi="Arial" w:cs="Arial"/>
          <w:lang w:val="pl-PL"/>
        </w:rPr>
        <w:t xml:space="preserve"> </w:t>
      </w:r>
      <w:r w:rsidR="00DB3FFC" w:rsidRPr="00A81694">
        <w:rPr>
          <w:rFonts w:ascii="Arial" w:hAnsi="Arial" w:cs="Arial"/>
          <w:lang w:val="pl-PL"/>
        </w:rPr>
        <w:t>ekspertyzy</w:t>
      </w:r>
      <w:r w:rsidRPr="00A81694">
        <w:rPr>
          <w:rFonts w:ascii="Arial" w:hAnsi="Arial" w:cs="Arial"/>
          <w:lang w:val="pl-PL"/>
        </w:rPr>
        <w:t xml:space="preserve"> wraz ze wskazaniem propozycji środków minimalizujących jego wystąpienie, wpływających na poprawę precyzji i rzetelności </w:t>
      </w:r>
      <w:r w:rsidR="00DB3FFC" w:rsidRPr="00A81694">
        <w:rPr>
          <w:rFonts w:ascii="Arial" w:hAnsi="Arial" w:cs="Arial"/>
          <w:lang w:val="pl-PL"/>
        </w:rPr>
        <w:t>ekspertyzy</w:t>
      </w:r>
      <w:r w:rsidRPr="00A81694">
        <w:rPr>
          <w:rFonts w:ascii="Arial" w:hAnsi="Arial" w:cs="Arial"/>
          <w:lang w:val="pl-PL"/>
        </w:rPr>
        <w:t xml:space="preserve">. Ocenie będą podlegały wskazane obszary ryzyka wraz z uzasadnieniem, w jaki sposób ich ewentualna obecność może zagrozić </w:t>
      </w:r>
      <w:r w:rsidRPr="00A81694">
        <w:rPr>
          <w:rFonts w:ascii="Arial" w:hAnsi="Arial" w:cs="Arial"/>
          <w:lang w:val="pl-PL"/>
        </w:rPr>
        <w:lastRenderedPageBreak/>
        <w:t xml:space="preserve">prawidłowej realizacji </w:t>
      </w:r>
      <w:r w:rsidR="00DB3FFC" w:rsidRPr="00A81694">
        <w:rPr>
          <w:rFonts w:ascii="Arial" w:hAnsi="Arial" w:cs="Arial"/>
          <w:lang w:val="pl-PL"/>
        </w:rPr>
        <w:t>zadania</w:t>
      </w:r>
      <w:r w:rsidRPr="00A81694">
        <w:rPr>
          <w:rFonts w:ascii="Arial" w:hAnsi="Arial" w:cs="Arial"/>
          <w:lang w:val="pl-PL"/>
        </w:rPr>
        <w:t xml:space="preserve"> oraz propozycjami środków minimalizujących ich wystąpienie. W przypadku, kiedy ocenie nie będzie podlegał żaden obszar ryzyka lub wszystkie propozycje zostaną ocenione jako nieużyteczne, oferta otrzyma w podkryterium 0 punktów.</w:t>
      </w:r>
    </w:p>
    <w:p w14:paraId="214F8DEF" w14:textId="0404C3FA" w:rsidR="00DB3FFC" w:rsidRPr="00A81694" w:rsidRDefault="00DB3FFC" w:rsidP="00342462">
      <w:pPr>
        <w:pStyle w:val="Tekstpodstawowy"/>
        <w:spacing w:line="360" w:lineRule="auto"/>
        <w:ind w:right="107"/>
        <w:rPr>
          <w:rFonts w:ascii="Arial" w:hAnsi="Arial" w:cs="Arial"/>
          <w:lang w:val="pl-PL"/>
        </w:rPr>
      </w:pPr>
    </w:p>
    <w:p w14:paraId="3235BC8A" w14:textId="77777777" w:rsidR="00130259" w:rsidRPr="00A81694" w:rsidRDefault="00130259" w:rsidP="00342462">
      <w:pPr>
        <w:pStyle w:val="Nagwek1"/>
        <w:spacing w:before="194" w:line="360" w:lineRule="auto"/>
        <w:ind w:left="0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B2.</w:t>
      </w:r>
    </w:p>
    <w:p w14:paraId="528ECA75" w14:textId="77777777" w:rsidR="00130259" w:rsidRPr="00A81694" w:rsidRDefault="00130259" w:rsidP="00342462">
      <w:pPr>
        <w:pStyle w:val="Tekstpodstawowy"/>
        <w:spacing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 xml:space="preserve">Komisja wspólnie dokona oceny poszczególnych ofert w </w:t>
      </w:r>
      <w:r w:rsidRPr="00A81694">
        <w:rPr>
          <w:rFonts w:ascii="Arial" w:hAnsi="Arial" w:cs="Arial"/>
          <w:b/>
          <w:lang w:val="pl-PL"/>
        </w:rPr>
        <w:t xml:space="preserve">Kryterium II </w:t>
      </w:r>
      <w:r w:rsidRPr="00A81694">
        <w:rPr>
          <w:rFonts w:ascii="Arial" w:hAnsi="Arial" w:cs="Arial"/>
          <w:lang w:val="pl-PL"/>
        </w:rPr>
        <w:t>– stosując poniższe zasady:</w:t>
      </w:r>
    </w:p>
    <w:p w14:paraId="4AF9B98E" w14:textId="77777777" w:rsidR="00130259" w:rsidRPr="00A81694" w:rsidRDefault="00130259" w:rsidP="00342462">
      <w:pPr>
        <w:pStyle w:val="Tekstpodstawowy"/>
        <w:spacing w:before="196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Po indywidualnej ocenie ofert, o której mowa w części B1 poszczególne oferty otrzymują ilość punktów wyliczoną według poniższej formuły:</w:t>
      </w:r>
    </w:p>
    <w:p w14:paraId="69504843" w14:textId="77777777" w:rsidR="00130259" w:rsidRPr="00A81694" w:rsidRDefault="00130259" w:rsidP="00342462">
      <w:pPr>
        <w:pStyle w:val="Nagwek1"/>
        <w:spacing w:before="191" w:line="360" w:lineRule="auto"/>
        <w:rPr>
          <w:rFonts w:ascii="Arial" w:hAnsi="Arial" w:cs="Arial"/>
          <w:b w:val="0"/>
          <w:lang w:val="pl-PL"/>
        </w:rPr>
      </w:pPr>
      <w:proofErr w:type="spellStart"/>
      <w:r w:rsidRPr="00A81694">
        <w:rPr>
          <w:rFonts w:ascii="Arial" w:hAnsi="Arial" w:cs="Arial"/>
          <w:lang w:val="pl-PL"/>
        </w:rPr>
        <w:t>Yn</w:t>
      </w:r>
      <w:proofErr w:type="spellEnd"/>
      <w:r w:rsidRPr="00A81694">
        <w:rPr>
          <w:rFonts w:ascii="Arial" w:hAnsi="Arial" w:cs="Arial"/>
          <w:lang w:val="pl-PL"/>
        </w:rPr>
        <w:t xml:space="preserve"> = (Ck1 + Ck2 +</w:t>
      </w:r>
      <w:proofErr w:type="spellStart"/>
      <w:r w:rsidRPr="00A81694">
        <w:rPr>
          <w:rFonts w:ascii="Arial" w:hAnsi="Arial" w:cs="Arial"/>
          <w:lang w:val="pl-PL"/>
        </w:rPr>
        <w:t>Ck</w:t>
      </w:r>
      <w:proofErr w:type="spellEnd"/>
      <w:r w:rsidRPr="00A81694">
        <w:rPr>
          <w:rFonts w:ascii="Arial" w:hAnsi="Arial" w:cs="Arial"/>
          <w:position w:val="8"/>
          <w:lang w:val="pl-PL"/>
        </w:rPr>
        <w:t>n</w:t>
      </w:r>
      <w:r w:rsidRPr="00A81694">
        <w:rPr>
          <w:rFonts w:ascii="Arial" w:hAnsi="Arial" w:cs="Arial"/>
          <w:lang w:val="pl-PL"/>
        </w:rPr>
        <w:t xml:space="preserve">) / </w:t>
      </w:r>
      <w:proofErr w:type="spellStart"/>
      <w:r w:rsidRPr="00A81694">
        <w:rPr>
          <w:rFonts w:ascii="Arial" w:hAnsi="Arial" w:cs="Arial"/>
          <w:lang w:val="pl-PL"/>
        </w:rPr>
        <w:t>Lck</w:t>
      </w:r>
      <w:proofErr w:type="spellEnd"/>
      <w:r w:rsidRPr="00A81694">
        <w:rPr>
          <w:rFonts w:ascii="Arial" w:hAnsi="Arial" w:cs="Arial"/>
          <w:lang w:val="pl-PL"/>
        </w:rPr>
        <w:t xml:space="preserve">, </w:t>
      </w:r>
      <w:r w:rsidRPr="00A81694">
        <w:rPr>
          <w:rFonts w:ascii="Arial" w:hAnsi="Arial" w:cs="Arial"/>
          <w:b w:val="0"/>
          <w:lang w:val="pl-PL"/>
        </w:rPr>
        <w:t>gdzie:</w:t>
      </w:r>
    </w:p>
    <w:p w14:paraId="47F11DB6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Yn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ilość punktów przyznanych ocenianej ofercie;</w:t>
      </w:r>
    </w:p>
    <w:p w14:paraId="080DB420" w14:textId="77777777" w:rsidR="00130259" w:rsidRPr="00A81694" w:rsidRDefault="00130259" w:rsidP="00342462">
      <w:pPr>
        <w:pStyle w:val="Tekstpodstawowy"/>
        <w:spacing w:before="2" w:line="360" w:lineRule="auto"/>
        <w:ind w:left="11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Ck1  </w:t>
      </w:r>
      <w:r w:rsidRPr="00A81694">
        <w:rPr>
          <w:rFonts w:ascii="Arial" w:hAnsi="Arial" w:cs="Arial"/>
          <w:lang w:val="pl-PL"/>
        </w:rPr>
        <w:t>–  oznacza  ilość  punktów  przyznanych  ocenianej  ofercie  przez  pierwszego  członka komisji przetargowej w indywidualnej ocenie oferty w kryterium II;</w:t>
      </w:r>
    </w:p>
    <w:p w14:paraId="10C3DD69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b/>
          <w:lang w:val="pl-PL"/>
        </w:rPr>
        <w:t xml:space="preserve">Ck2 </w:t>
      </w:r>
      <w:r w:rsidRPr="00A81694">
        <w:rPr>
          <w:rFonts w:ascii="Arial" w:hAnsi="Arial" w:cs="Arial"/>
          <w:lang w:val="pl-PL"/>
        </w:rPr>
        <w:t>– oznacza ilość punktów przyznanych ocenianej ofercie przez drugiego członka komisji przetargowej w indywidualnej ocenie oferty w kryterium II;</w:t>
      </w:r>
    </w:p>
    <w:p w14:paraId="4511B7F2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Ck</w:t>
      </w:r>
      <w:proofErr w:type="spellEnd"/>
      <w:r w:rsidRPr="00A81694">
        <w:rPr>
          <w:rFonts w:ascii="Arial" w:hAnsi="Arial" w:cs="Arial"/>
          <w:b/>
          <w:position w:val="8"/>
          <w:lang w:val="pl-PL"/>
        </w:rPr>
        <w:t xml:space="preserve">n   </w:t>
      </w:r>
      <w:r w:rsidRPr="00A81694">
        <w:rPr>
          <w:rFonts w:ascii="Arial" w:hAnsi="Arial" w:cs="Arial"/>
          <w:b/>
          <w:lang w:val="pl-PL"/>
        </w:rPr>
        <w:t xml:space="preserve">–  </w:t>
      </w:r>
      <w:r w:rsidRPr="00A81694">
        <w:rPr>
          <w:rFonts w:ascii="Arial" w:hAnsi="Arial" w:cs="Arial"/>
          <w:lang w:val="pl-PL"/>
        </w:rPr>
        <w:t>oznacza  ilość  punktów  przyznanych  ocenianej  ofercie  przez  kolejnego  członka komisji przetargowej w indywidualnej ocenie oferty w kryterium II;</w:t>
      </w:r>
    </w:p>
    <w:p w14:paraId="53CA9E99" w14:textId="77777777" w:rsidR="00130259" w:rsidRPr="00A81694" w:rsidRDefault="00130259" w:rsidP="00342462">
      <w:pPr>
        <w:pStyle w:val="Tekstpodstawowy"/>
        <w:spacing w:line="360" w:lineRule="auto"/>
        <w:ind w:left="112"/>
        <w:rPr>
          <w:rFonts w:ascii="Arial" w:hAnsi="Arial" w:cs="Arial"/>
          <w:lang w:val="pl-PL"/>
        </w:rPr>
      </w:pPr>
      <w:proofErr w:type="spellStart"/>
      <w:r w:rsidRPr="00A81694">
        <w:rPr>
          <w:rFonts w:ascii="Arial" w:hAnsi="Arial" w:cs="Arial"/>
          <w:b/>
          <w:lang w:val="pl-PL"/>
        </w:rPr>
        <w:t>Lck</w:t>
      </w:r>
      <w:proofErr w:type="spellEnd"/>
      <w:r w:rsidRPr="00A81694">
        <w:rPr>
          <w:rFonts w:ascii="Arial" w:hAnsi="Arial" w:cs="Arial"/>
          <w:b/>
          <w:lang w:val="pl-PL"/>
        </w:rPr>
        <w:t xml:space="preserve"> </w:t>
      </w:r>
      <w:r w:rsidRPr="00A81694">
        <w:rPr>
          <w:rFonts w:ascii="Arial" w:hAnsi="Arial" w:cs="Arial"/>
          <w:lang w:val="pl-PL"/>
        </w:rPr>
        <w:t>– oznacza liczbę członków komisji przetargowej biorących udział w ocenie ofert (minimum dwóch członków).</w:t>
      </w:r>
    </w:p>
    <w:p w14:paraId="1F332BB3" w14:textId="77777777" w:rsidR="00130259" w:rsidRPr="00A81694" w:rsidRDefault="00130259" w:rsidP="00342462">
      <w:pPr>
        <w:pStyle w:val="Tekstpodstawowy"/>
        <w:spacing w:before="194" w:line="360" w:lineRule="auto"/>
        <w:rPr>
          <w:rFonts w:ascii="Arial" w:hAnsi="Arial" w:cs="Arial"/>
          <w:lang w:val="pl-PL"/>
        </w:rPr>
      </w:pPr>
      <w:r w:rsidRPr="00A81694">
        <w:rPr>
          <w:rFonts w:ascii="Arial" w:hAnsi="Arial" w:cs="Arial"/>
          <w:lang w:val="pl-PL"/>
        </w:rPr>
        <w:t>► Oferta w komisyjnej ocenie oferty w kryterium II może uzyskać maksymalnie</w:t>
      </w:r>
      <w:r w:rsidRPr="00A81694">
        <w:rPr>
          <w:rFonts w:ascii="Arial" w:hAnsi="Arial" w:cs="Arial"/>
          <w:lang w:val="pl-PL"/>
        </w:rPr>
        <w:br/>
        <w:t xml:space="preserve"> 60,00 punktów.</w:t>
      </w:r>
    </w:p>
    <w:p w14:paraId="09203CE2" w14:textId="77777777" w:rsidR="00130259" w:rsidRPr="00A81694" w:rsidRDefault="00130259" w:rsidP="00342462">
      <w:pPr>
        <w:pStyle w:val="Akapitzlist"/>
        <w:widowControl w:val="0"/>
        <w:numPr>
          <w:ilvl w:val="1"/>
          <w:numId w:val="6"/>
        </w:numPr>
        <w:tabs>
          <w:tab w:val="left" w:pos="541"/>
        </w:tabs>
        <w:spacing w:before="197" w:line="360" w:lineRule="auto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Łączna ocena</w:t>
      </w:r>
      <w:r w:rsidRPr="00A81694">
        <w:rPr>
          <w:rFonts w:ascii="Arial" w:hAnsi="Arial" w:cs="Arial"/>
          <w:spacing w:val="-2"/>
        </w:rPr>
        <w:t xml:space="preserve"> </w:t>
      </w:r>
      <w:r w:rsidRPr="00A81694">
        <w:rPr>
          <w:rFonts w:ascii="Arial" w:hAnsi="Arial" w:cs="Arial"/>
        </w:rPr>
        <w:t>ofert:</w:t>
      </w:r>
    </w:p>
    <w:p w14:paraId="34CC6F30" w14:textId="77777777" w:rsidR="00130259" w:rsidRPr="00A81694" w:rsidRDefault="00130259" w:rsidP="00342462">
      <w:pPr>
        <w:pStyle w:val="Akapitzlist"/>
        <w:widowControl w:val="0"/>
        <w:numPr>
          <w:ilvl w:val="2"/>
          <w:numId w:val="6"/>
        </w:numPr>
        <w:tabs>
          <w:tab w:val="left" w:pos="822"/>
        </w:tabs>
        <w:spacing w:before="194" w:line="360" w:lineRule="auto"/>
        <w:ind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Punkty uzyskane przez ofertę w komisyjnej ocenie oferty w kryterium I zostaną dodane do punktów uzyskanych przez nią w komisyjnej ocenie oferty w kryterium II i na tej podstawie zostanie obliczona </w:t>
      </w:r>
      <w:r w:rsidRPr="00A81694">
        <w:rPr>
          <w:rFonts w:ascii="Arial" w:hAnsi="Arial" w:cs="Arial"/>
          <w:b/>
        </w:rPr>
        <w:t>łączna ocena oferty</w:t>
      </w:r>
      <w:r w:rsidRPr="00A81694">
        <w:rPr>
          <w:rFonts w:ascii="Arial" w:hAnsi="Arial" w:cs="Arial"/>
        </w:rPr>
        <w:t>. Oferta w łącznej ocenie oferty może uzyskać maksymalnie 100,00</w:t>
      </w:r>
      <w:r w:rsidRPr="00A81694">
        <w:rPr>
          <w:rFonts w:ascii="Arial" w:hAnsi="Arial" w:cs="Arial"/>
          <w:spacing w:val="-4"/>
        </w:rPr>
        <w:t xml:space="preserve"> </w:t>
      </w:r>
      <w:r w:rsidRPr="00A81694">
        <w:rPr>
          <w:rFonts w:ascii="Arial" w:hAnsi="Arial" w:cs="Arial"/>
        </w:rPr>
        <w:t>pkt.</w:t>
      </w:r>
    </w:p>
    <w:p w14:paraId="21D24A0C" w14:textId="77777777" w:rsidR="00130259" w:rsidRPr="00A81694" w:rsidRDefault="00130259" w:rsidP="00342462">
      <w:pPr>
        <w:pStyle w:val="Akapitzlist"/>
        <w:widowControl w:val="0"/>
        <w:numPr>
          <w:ilvl w:val="2"/>
          <w:numId w:val="6"/>
        </w:numPr>
        <w:tabs>
          <w:tab w:val="left" w:pos="822"/>
        </w:tabs>
        <w:spacing w:line="360" w:lineRule="auto"/>
        <w:ind w:right="116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Zamawiający udzieli zamówienia wykonawcy, którego oferta uzyska największą ilość punktów w </w:t>
      </w:r>
      <w:r w:rsidRPr="00A81694">
        <w:rPr>
          <w:rFonts w:ascii="Arial" w:hAnsi="Arial" w:cs="Arial"/>
          <w:b/>
        </w:rPr>
        <w:t>łącznej ocenie</w:t>
      </w:r>
      <w:r w:rsidRPr="00A81694">
        <w:rPr>
          <w:rFonts w:ascii="Arial" w:hAnsi="Arial" w:cs="Arial"/>
          <w:b/>
          <w:spacing w:val="-9"/>
        </w:rPr>
        <w:t xml:space="preserve"> </w:t>
      </w:r>
      <w:r w:rsidRPr="00A81694">
        <w:rPr>
          <w:rFonts w:ascii="Arial" w:hAnsi="Arial" w:cs="Arial"/>
          <w:b/>
        </w:rPr>
        <w:t>ofert</w:t>
      </w:r>
      <w:r w:rsidRPr="00A81694">
        <w:rPr>
          <w:rFonts w:ascii="Arial" w:hAnsi="Arial" w:cs="Arial"/>
        </w:rPr>
        <w:t>.</w:t>
      </w:r>
    </w:p>
    <w:p w14:paraId="01D93832" w14:textId="416BA48B" w:rsidR="00D077DB" w:rsidRPr="00A81694" w:rsidRDefault="00D077DB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left="397"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lastRenderedPageBreak/>
        <w:t>W przypadku, gdy</w:t>
      </w:r>
      <w:r w:rsidR="00900FC6" w:rsidRPr="00A81694">
        <w:rPr>
          <w:rFonts w:ascii="Arial" w:hAnsi="Arial" w:cs="Arial"/>
        </w:rPr>
        <w:t xml:space="preserve"> w</w:t>
      </w:r>
      <w:r w:rsidRPr="00A81694">
        <w:rPr>
          <w:rFonts w:ascii="Arial" w:hAnsi="Arial" w:cs="Arial"/>
        </w:rPr>
        <w:t xml:space="preserve"> Kryterium II</w:t>
      </w:r>
      <w:r w:rsidR="00900FC6" w:rsidRPr="00A81694">
        <w:rPr>
          <w:rFonts w:ascii="Arial" w:hAnsi="Arial" w:cs="Arial"/>
        </w:rPr>
        <w:t xml:space="preserve"> Podejście metodologiczne oferta uzyska mniej niż 30 punktów łącznie</w:t>
      </w:r>
      <w:r w:rsidR="00900FC6" w:rsidRPr="00A81694">
        <w:rPr>
          <w:rStyle w:val="Odwoanieprzypisudolnego"/>
          <w:rFonts w:ascii="Arial" w:hAnsi="Arial" w:cs="Arial"/>
        </w:rPr>
        <w:footnoteReference w:id="1"/>
      </w:r>
      <w:r w:rsidR="00900FC6" w:rsidRPr="00A81694">
        <w:rPr>
          <w:rFonts w:ascii="Arial" w:hAnsi="Arial" w:cs="Arial"/>
        </w:rPr>
        <w:t xml:space="preserve">, zostanie odrzucona jako oferta, która nie gwarantuje osiągnięcia w wystarczającym stopniu celu przedmiotu zamówienia (nie gwarantuje prawidłowej realizacji przedmiotu zamówienia). </w:t>
      </w:r>
    </w:p>
    <w:p w14:paraId="1F504F25" w14:textId="3E6AADA1" w:rsidR="0043370C" w:rsidRPr="00A81694" w:rsidRDefault="00F11564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left="397" w:right="108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>Jeżeli zostanie złożona tylko jedna oferta podlegająca ocenie – zamawiający oceni ofertę tego wykonawcy</w:t>
      </w:r>
      <w:r w:rsidR="00591826" w:rsidRPr="00A81694">
        <w:rPr>
          <w:rFonts w:ascii="Arial" w:hAnsi="Arial" w:cs="Arial"/>
        </w:rPr>
        <w:t xml:space="preserve">. </w:t>
      </w:r>
      <w:r w:rsidR="00DA1B3B" w:rsidRPr="00A81694">
        <w:rPr>
          <w:rFonts w:ascii="Arial" w:hAnsi="Arial" w:cs="Arial"/>
        </w:rPr>
        <w:t>W sytuacji stwierdzenia, że oferta nie spełnia wymagań Zamawiającego określonych SOPZ (m.in. świadczy o niezrozumieniu przedmiotu zamówienia) oferta taka podlegać będzie</w:t>
      </w:r>
      <w:r w:rsidR="00DA1B3B" w:rsidRPr="00A81694">
        <w:rPr>
          <w:rFonts w:ascii="Arial" w:hAnsi="Arial" w:cs="Arial"/>
          <w:spacing w:val="-25"/>
        </w:rPr>
        <w:t xml:space="preserve"> </w:t>
      </w:r>
      <w:r w:rsidR="00DA1B3B" w:rsidRPr="00A81694">
        <w:rPr>
          <w:rFonts w:ascii="Arial" w:hAnsi="Arial" w:cs="Arial"/>
        </w:rPr>
        <w:t>odrzuceniu.</w:t>
      </w:r>
    </w:p>
    <w:p w14:paraId="66F8F43D" w14:textId="77777777" w:rsidR="0043370C" w:rsidRPr="00A81694" w:rsidRDefault="0043370C" w:rsidP="00342462">
      <w:pPr>
        <w:pStyle w:val="Akapitzlist"/>
        <w:widowControl w:val="0"/>
        <w:numPr>
          <w:ilvl w:val="0"/>
          <w:numId w:val="6"/>
        </w:numPr>
        <w:tabs>
          <w:tab w:val="left" w:pos="397"/>
        </w:tabs>
        <w:spacing w:line="360" w:lineRule="auto"/>
        <w:ind w:right="109"/>
        <w:contextualSpacing w:val="0"/>
        <w:rPr>
          <w:rFonts w:ascii="Arial" w:hAnsi="Arial" w:cs="Arial"/>
        </w:rPr>
      </w:pPr>
      <w:r w:rsidRPr="00A81694">
        <w:rPr>
          <w:rFonts w:ascii="Arial" w:hAnsi="Arial" w:cs="Arial"/>
        </w:rPr>
        <w:t xml:space="preserve">Zamawiający zastosuje zaokrąglanie wyników oceny do dwóch miejsc po przecinku. Gdyby wyniki dwóch lub większej liczby ofert okazały się takie same, </w:t>
      </w:r>
      <w:r w:rsidR="00F11564" w:rsidRPr="00A81694">
        <w:rPr>
          <w:rFonts w:ascii="Arial" w:hAnsi="Arial" w:cs="Arial"/>
        </w:rPr>
        <w:t>Z</w:t>
      </w:r>
      <w:r w:rsidRPr="00A81694">
        <w:rPr>
          <w:rFonts w:ascii="Arial" w:hAnsi="Arial" w:cs="Arial"/>
        </w:rPr>
        <w:t>amawiający nie zastosuje zaokrągleń, chyba że działanie takie nie będzie mogło przynieść zróżnicowania</w:t>
      </w:r>
      <w:r w:rsidRPr="00A81694">
        <w:rPr>
          <w:rFonts w:ascii="Arial" w:hAnsi="Arial" w:cs="Arial"/>
          <w:spacing w:val="-34"/>
        </w:rPr>
        <w:t xml:space="preserve"> </w:t>
      </w:r>
      <w:r w:rsidRPr="00A81694">
        <w:rPr>
          <w:rFonts w:ascii="Arial" w:hAnsi="Arial" w:cs="Arial"/>
        </w:rPr>
        <w:t>wyników.</w:t>
      </w:r>
    </w:p>
    <w:p w14:paraId="77BEB208" w14:textId="77777777" w:rsidR="00AA4115" w:rsidRPr="00A81694" w:rsidRDefault="00AA4115" w:rsidP="00342462">
      <w:pPr>
        <w:spacing w:line="360" w:lineRule="auto"/>
        <w:rPr>
          <w:rFonts w:ascii="Arial" w:hAnsi="Arial" w:cs="Arial"/>
        </w:rPr>
      </w:pPr>
    </w:p>
    <w:sectPr w:rsidR="00AA4115" w:rsidRPr="00A81694" w:rsidSect="00DE1E0A">
      <w:headerReference w:type="default" r:id="rId8"/>
      <w:footerReference w:type="default" r:id="rId9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A821" w14:textId="77777777" w:rsidR="00BC44DE" w:rsidRDefault="00BC44DE" w:rsidP="00AA4115">
      <w:r>
        <w:separator/>
      </w:r>
    </w:p>
  </w:endnote>
  <w:endnote w:type="continuationSeparator" w:id="0">
    <w:p w14:paraId="55F76203" w14:textId="77777777" w:rsidR="00BC44DE" w:rsidRDefault="00BC44DE" w:rsidP="00AA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294925"/>
      <w:docPartObj>
        <w:docPartGallery w:val="Page Numbers (Bottom of Page)"/>
        <w:docPartUnique/>
      </w:docPartObj>
    </w:sdtPr>
    <w:sdtEndPr/>
    <w:sdtContent>
      <w:p w14:paraId="46FB01FC" w14:textId="77777777" w:rsidR="00AA4115" w:rsidRDefault="00AA41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876">
          <w:rPr>
            <w:noProof/>
          </w:rPr>
          <w:t>2</w:t>
        </w:r>
        <w:r>
          <w:fldChar w:fldCharType="end"/>
        </w:r>
      </w:p>
    </w:sdtContent>
  </w:sdt>
  <w:p w14:paraId="2687F1B2" w14:textId="77777777" w:rsidR="00AA4115" w:rsidRDefault="00AA41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E6E7" w14:textId="77777777" w:rsidR="00BC44DE" w:rsidRDefault="00BC44DE" w:rsidP="00AA4115">
      <w:r>
        <w:separator/>
      </w:r>
    </w:p>
  </w:footnote>
  <w:footnote w:type="continuationSeparator" w:id="0">
    <w:p w14:paraId="5020B526" w14:textId="77777777" w:rsidR="00BC44DE" w:rsidRDefault="00BC44DE" w:rsidP="00AA4115">
      <w:r>
        <w:continuationSeparator/>
      </w:r>
    </w:p>
  </w:footnote>
  <w:footnote w:id="1">
    <w:p w14:paraId="5008C507" w14:textId="2FA2BEDA" w:rsidR="00900FC6" w:rsidRDefault="00900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0FC6">
        <w:rPr>
          <w:rFonts w:ascii="Arial" w:hAnsi="Arial" w:cs="Arial"/>
          <w:sz w:val="18"/>
          <w:szCs w:val="18"/>
        </w:rPr>
        <w:t>rozumianych jako średnia ocen przydzielonych przez poszczególnych członków Komisji przetargowej weryfikujących poprawność merytoryczną oferty</w:t>
      </w:r>
      <w:r>
        <w:rPr>
          <w:sz w:val="18"/>
          <w:szCs w:val="18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B73F" w14:textId="77777777" w:rsidR="00DE1E0A" w:rsidRDefault="00CD3B60">
    <w:pPr>
      <w:pStyle w:val="Nagwek"/>
    </w:pPr>
    <w:r w:rsidRPr="00CD3B60">
      <w:rPr>
        <w:noProof/>
      </w:rPr>
      <w:drawing>
        <wp:inline distT="0" distB="0" distL="0" distR="0" wp14:anchorId="57772003" wp14:editId="365498E7">
          <wp:extent cx="5760720" cy="421640"/>
          <wp:effectExtent l="0" t="0" r="0" b="0"/>
          <wp:doc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A7A13"/>
    <w:multiLevelType w:val="multilevel"/>
    <w:tmpl w:val="9FAC103E"/>
    <w:lvl w:ilvl="0">
      <w:start w:val="1"/>
      <w:numFmt w:val="decimal"/>
      <w:lvlText w:val="%1."/>
      <w:lvlJc w:val="left"/>
      <w:pPr>
        <w:ind w:left="396" w:hanging="284"/>
      </w:pPr>
      <w:rPr>
        <w:rFonts w:ascii="Arial" w:eastAsia="Calibri" w:hAnsi="Arial" w:cs="Arial" w:hint="default"/>
        <w:spacing w:val="-8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Arial" w:eastAsia="Calibri" w:hAnsi="Arial" w:cs="Arial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ascii="Arial" w:eastAsia="Calibri" w:hAnsi="Arial" w:cs="Arial" w:hint="default"/>
        <w:spacing w:val="-4"/>
        <w:w w:val="99"/>
        <w:sz w:val="22"/>
        <w:szCs w:val="22"/>
      </w:rPr>
    </w:lvl>
    <w:lvl w:ilvl="3">
      <w:numFmt w:val="bullet"/>
      <w:lvlText w:val="•"/>
      <w:lvlJc w:val="left"/>
      <w:pPr>
        <w:ind w:left="1950" w:hanging="709"/>
      </w:pPr>
      <w:rPr>
        <w:rFonts w:hint="default"/>
      </w:rPr>
    </w:lvl>
    <w:lvl w:ilvl="4">
      <w:numFmt w:val="bullet"/>
      <w:lvlText w:val="•"/>
      <w:lvlJc w:val="left"/>
      <w:pPr>
        <w:ind w:left="3081" w:hanging="709"/>
      </w:pPr>
      <w:rPr>
        <w:rFonts w:hint="default"/>
      </w:rPr>
    </w:lvl>
    <w:lvl w:ilvl="5">
      <w:numFmt w:val="bullet"/>
      <w:lvlText w:val="•"/>
      <w:lvlJc w:val="left"/>
      <w:pPr>
        <w:ind w:left="4212" w:hanging="709"/>
      </w:pPr>
      <w:rPr>
        <w:rFonts w:hint="default"/>
      </w:rPr>
    </w:lvl>
    <w:lvl w:ilvl="6">
      <w:numFmt w:val="bullet"/>
      <w:lvlText w:val="•"/>
      <w:lvlJc w:val="left"/>
      <w:pPr>
        <w:ind w:left="5343" w:hanging="709"/>
      </w:pPr>
      <w:rPr>
        <w:rFonts w:hint="default"/>
      </w:rPr>
    </w:lvl>
    <w:lvl w:ilvl="7">
      <w:numFmt w:val="bullet"/>
      <w:lvlText w:val="•"/>
      <w:lvlJc w:val="left"/>
      <w:pPr>
        <w:ind w:left="6474" w:hanging="709"/>
      </w:pPr>
      <w:rPr>
        <w:rFonts w:hint="default"/>
      </w:rPr>
    </w:lvl>
    <w:lvl w:ilvl="8">
      <w:numFmt w:val="bullet"/>
      <w:lvlText w:val="•"/>
      <w:lvlJc w:val="left"/>
      <w:pPr>
        <w:ind w:left="7604" w:hanging="709"/>
      </w:pPr>
      <w:rPr>
        <w:rFonts w:hint="default"/>
      </w:rPr>
    </w:lvl>
  </w:abstractNum>
  <w:abstractNum w:abstractNumId="2" w15:restartNumberingAfterBreak="0">
    <w:nsid w:val="455B6F27"/>
    <w:multiLevelType w:val="hybridMultilevel"/>
    <w:tmpl w:val="777C3D1A"/>
    <w:lvl w:ilvl="0" w:tplc="68A033B2">
      <w:start w:val="1"/>
      <w:numFmt w:val="upperLetter"/>
      <w:lvlText w:val="%1."/>
      <w:lvlJc w:val="left"/>
      <w:pPr>
        <w:ind w:left="4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48B628B8"/>
    <w:multiLevelType w:val="hybridMultilevel"/>
    <w:tmpl w:val="B8647DA4"/>
    <w:lvl w:ilvl="0" w:tplc="8C4E1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6587D"/>
    <w:multiLevelType w:val="hybridMultilevel"/>
    <w:tmpl w:val="0F94FEE0"/>
    <w:lvl w:ilvl="0" w:tplc="6DCC877E">
      <w:start w:val="1"/>
      <w:numFmt w:val="lowerLetter"/>
      <w:lvlText w:val="%1)"/>
      <w:lvlJc w:val="left"/>
      <w:pPr>
        <w:ind w:left="0" w:hanging="28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C30F6E4">
      <w:numFmt w:val="bullet"/>
      <w:lvlText w:val="•"/>
      <w:lvlJc w:val="left"/>
      <w:pPr>
        <w:ind w:left="982" w:hanging="286"/>
      </w:pPr>
      <w:rPr>
        <w:rFonts w:hint="default"/>
      </w:rPr>
    </w:lvl>
    <w:lvl w:ilvl="2" w:tplc="1510527C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DA825C7E">
      <w:numFmt w:val="bullet"/>
      <w:lvlText w:val="•"/>
      <w:lvlJc w:val="left"/>
      <w:pPr>
        <w:ind w:left="2931" w:hanging="286"/>
      </w:pPr>
      <w:rPr>
        <w:rFonts w:hint="default"/>
      </w:rPr>
    </w:lvl>
    <w:lvl w:ilvl="4" w:tplc="DA3CAF78">
      <w:numFmt w:val="bullet"/>
      <w:lvlText w:val="•"/>
      <w:lvlJc w:val="left"/>
      <w:pPr>
        <w:ind w:left="3906" w:hanging="286"/>
      </w:pPr>
      <w:rPr>
        <w:rFonts w:hint="default"/>
      </w:rPr>
    </w:lvl>
    <w:lvl w:ilvl="5" w:tplc="15ACE7DE">
      <w:numFmt w:val="bullet"/>
      <w:lvlText w:val="•"/>
      <w:lvlJc w:val="left"/>
      <w:pPr>
        <w:ind w:left="4881" w:hanging="286"/>
      </w:pPr>
      <w:rPr>
        <w:rFonts w:hint="default"/>
      </w:rPr>
    </w:lvl>
    <w:lvl w:ilvl="6" w:tplc="B27EFB40"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78A8633A">
      <w:numFmt w:val="bullet"/>
      <w:lvlText w:val="•"/>
      <w:lvlJc w:val="left"/>
      <w:pPr>
        <w:ind w:left="6830" w:hanging="286"/>
      </w:pPr>
      <w:rPr>
        <w:rFonts w:hint="default"/>
      </w:rPr>
    </w:lvl>
    <w:lvl w:ilvl="8" w:tplc="1E34348A">
      <w:numFmt w:val="bullet"/>
      <w:lvlText w:val="•"/>
      <w:lvlJc w:val="left"/>
      <w:pPr>
        <w:ind w:left="7805" w:hanging="286"/>
      </w:pPr>
      <w:rPr>
        <w:rFonts w:hint="default"/>
      </w:rPr>
    </w:lvl>
  </w:abstractNum>
  <w:abstractNum w:abstractNumId="5" w15:restartNumberingAfterBreak="0">
    <w:nsid w:val="66D37FAE"/>
    <w:multiLevelType w:val="hybridMultilevel"/>
    <w:tmpl w:val="2FD6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74CF"/>
    <w:multiLevelType w:val="hybridMultilevel"/>
    <w:tmpl w:val="D96E0EB0"/>
    <w:lvl w:ilvl="0" w:tplc="F6F6C99C">
      <w:start w:val="1"/>
      <w:numFmt w:val="lowerLetter"/>
      <w:lvlText w:val="%1)"/>
      <w:lvlJc w:val="left"/>
      <w:pPr>
        <w:ind w:left="0" w:hanging="40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2303516">
      <w:numFmt w:val="bullet"/>
      <w:lvlText w:val="•"/>
      <w:lvlJc w:val="left"/>
      <w:pPr>
        <w:ind w:left="982" w:hanging="406"/>
      </w:pPr>
      <w:rPr>
        <w:rFonts w:hint="default"/>
      </w:rPr>
    </w:lvl>
    <w:lvl w:ilvl="2" w:tplc="0458E02E">
      <w:numFmt w:val="bullet"/>
      <w:lvlText w:val="•"/>
      <w:lvlJc w:val="left"/>
      <w:pPr>
        <w:ind w:left="1957" w:hanging="406"/>
      </w:pPr>
      <w:rPr>
        <w:rFonts w:hint="default"/>
      </w:rPr>
    </w:lvl>
    <w:lvl w:ilvl="3" w:tplc="EE724586">
      <w:numFmt w:val="bullet"/>
      <w:lvlText w:val="•"/>
      <w:lvlJc w:val="left"/>
      <w:pPr>
        <w:ind w:left="2931" w:hanging="406"/>
      </w:pPr>
      <w:rPr>
        <w:rFonts w:hint="default"/>
      </w:rPr>
    </w:lvl>
    <w:lvl w:ilvl="4" w:tplc="88F8248A">
      <w:numFmt w:val="bullet"/>
      <w:lvlText w:val="•"/>
      <w:lvlJc w:val="left"/>
      <w:pPr>
        <w:ind w:left="3906" w:hanging="406"/>
      </w:pPr>
      <w:rPr>
        <w:rFonts w:hint="default"/>
      </w:rPr>
    </w:lvl>
    <w:lvl w:ilvl="5" w:tplc="28747794">
      <w:numFmt w:val="bullet"/>
      <w:lvlText w:val="•"/>
      <w:lvlJc w:val="left"/>
      <w:pPr>
        <w:ind w:left="4881" w:hanging="406"/>
      </w:pPr>
      <w:rPr>
        <w:rFonts w:hint="default"/>
      </w:rPr>
    </w:lvl>
    <w:lvl w:ilvl="6" w:tplc="DCA064DE">
      <w:numFmt w:val="bullet"/>
      <w:lvlText w:val="•"/>
      <w:lvlJc w:val="left"/>
      <w:pPr>
        <w:ind w:left="5855" w:hanging="406"/>
      </w:pPr>
      <w:rPr>
        <w:rFonts w:hint="default"/>
      </w:rPr>
    </w:lvl>
    <w:lvl w:ilvl="7" w:tplc="07325EFE">
      <w:numFmt w:val="bullet"/>
      <w:lvlText w:val="•"/>
      <w:lvlJc w:val="left"/>
      <w:pPr>
        <w:ind w:left="6830" w:hanging="406"/>
      </w:pPr>
      <w:rPr>
        <w:rFonts w:hint="default"/>
      </w:rPr>
    </w:lvl>
    <w:lvl w:ilvl="8" w:tplc="BF72296C">
      <w:numFmt w:val="bullet"/>
      <w:lvlText w:val="•"/>
      <w:lvlJc w:val="left"/>
      <w:pPr>
        <w:ind w:left="7805" w:hanging="406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2E"/>
    <w:rsid w:val="000154B1"/>
    <w:rsid w:val="00034CCE"/>
    <w:rsid w:val="00086686"/>
    <w:rsid w:val="000F0EC9"/>
    <w:rsid w:val="00130259"/>
    <w:rsid w:val="00134D9B"/>
    <w:rsid w:val="00175C14"/>
    <w:rsid w:val="00187D5D"/>
    <w:rsid w:val="00194B60"/>
    <w:rsid w:val="001A4252"/>
    <w:rsid w:val="001C13F4"/>
    <w:rsid w:val="001E493A"/>
    <w:rsid w:val="001F1602"/>
    <w:rsid w:val="002069FF"/>
    <w:rsid w:val="00220912"/>
    <w:rsid w:val="0025516A"/>
    <w:rsid w:val="002712C8"/>
    <w:rsid w:val="002B29D9"/>
    <w:rsid w:val="002E4625"/>
    <w:rsid w:val="002E5D11"/>
    <w:rsid w:val="002F7EF8"/>
    <w:rsid w:val="0030493D"/>
    <w:rsid w:val="00342462"/>
    <w:rsid w:val="00351E0E"/>
    <w:rsid w:val="00393A5C"/>
    <w:rsid w:val="003E1974"/>
    <w:rsid w:val="003F6B14"/>
    <w:rsid w:val="00423B02"/>
    <w:rsid w:val="0043370C"/>
    <w:rsid w:val="004531C3"/>
    <w:rsid w:val="00464664"/>
    <w:rsid w:val="00480309"/>
    <w:rsid w:val="004D1C14"/>
    <w:rsid w:val="004D6C0F"/>
    <w:rsid w:val="004F5B12"/>
    <w:rsid w:val="00504F82"/>
    <w:rsid w:val="005339F3"/>
    <w:rsid w:val="00546FC8"/>
    <w:rsid w:val="005471E2"/>
    <w:rsid w:val="00565EC5"/>
    <w:rsid w:val="00591826"/>
    <w:rsid w:val="005937BB"/>
    <w:rsid w:val="005976F9"/>
    <w:rsid w:val="00663AD2"/>
    <w:rsid w:val="0067050F"/>
    <w:rsid w:val="00672737"/>
    <w:rsid w:val="00685417"/>
    <w:rsid w:val="00686DBA"/>
    <w:rsid w:val="006C5C63"/>
    <w:rsid w:val="006D72B0"/>
    <w:rsid w:val="006E5C0A"/>
    <w:rsid w:val="006F1D20"/>
    <w:rsid w:val="006F2F58"/>
    <w:rsid w:val="00717B23"/>
    <w:rsid w:val="007309AB"/>
    <w:rsid w:val="00732795"/>
    <w:rsid w:val="00763CAB"/>
    <w:rsid w:val="00794440"/>
    <w:rsid w:val="00794560"/>
    <w:rsid w:val="007D1DFE"/>
    <w:rsid w:val="00806D22"/>
    <w:rsid w:val="00821401"/>
    <w:rsid w:val="00831E35"/>
    <w:rsid w:val="0085531F"/>
    <w:rsid w:val="00896C13"/>
    <w:rsid w:val="008E15B8"/>
    <w:rsid w:val="008F1672"/>
    <w:rsid w:val="00900FC6"/>
    <w:rsid w:val="00945112"/>
    <w:rsid w:val="009463AB"/>
    <w:rsid w:val="00961B1F"/>
    <w:rsid w:val="009B14D1"/>
    <w:rsid w:val="009F68F2"/>
    <w:rsid w:val="009F72FE"/>
    <w:rsid w:val="00A0715F"/>
    <w:rsid w:val="00A34FB1"/>
    <w:rsid w:val="00A7738A"/>
    <w:rsid w:val="00A81694"/>
    <w:rsid w:val="00A90F28"/>
    <w:rsid w:val="00AA4115"/>
    <w:rsid w:val="00AF1050"/>
    <w:rsid w:val="00B62E5B"/>
    <w:rsid w:val="00BC44DE"/>
    <w:rsid w:val="00C16945"/>
    <w:rsid w:val="00C31BA5"/>
    <w:rsid w:val="00C45876"/>
    <w:rsid w:val="00C75F65"/>
    <w:rsid w:val="00C871E6"/>
    <w:rsid w:val="00C9194D"/>
    <w:rsid w:val="00C952FB"/>
    <w:rsid w:val="00CC0DE2"/>
    <w:rsid w:val="00CD3907"/>
    <w:rsid w:val="00CD3B60"/>
    <w:rsid w:val="00CE01B6"/>
    <w:rsid w:val="00D0136F"/>
    <w:rsid w:val="00D04CF3"/>
    <w:rsid w:val="00D077DB"/>
    <w:rsid w:val="00D1014B"/>
    <w:rsid w:val="00D471E2"/>
    <w:rsid w:val="00D536C7"/>
    <w:rsid w:val="00D624AD"/>
    <w:rsid w:val="00D67795"/>
    <w:rsid w:val="00D72EA7"/>
    <w:rsid w:val="00DA1B3B"/>
    <w:rsid w:val="00DB3180"/>
    <w:rsid w:val="00DB3FFC"/>
    <w:rsid w:val="00DE1E0A"/>
    <w:rsid w:val="00E0690C"/>
    <w:rsid w:val="00E33024"/>
    <w:rsid w:val="00E45718"/>
    <w:rsid w:val="00EA6B80"/>
    <w:rsid w:val="00EB4ECF"/>
    <w:rsid w:val="00F11564"/>
    <w:rsid w:val="00F167DA"/>
    <w:rsid w:val="00F7102E"/>
    <w:rsid w:val="00F7157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98B8BB"/>
  <w15:docId w15:val="{DE1D51C9-F9E4-455A-A27F-FFB627C2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130259"/>
    <w:pPr>
      <w:widowControl w:val="0"/>
      <w:spacing w:before="1"/>
      <w:ind w:left="112"/>
      <w:outlineLvl w:val="0"/>
    </w:pPr>
    <w:rPr>
      <w:rFonts w:ascii="Calibri" w:eastAsia="Calibri" w:hAnsi="Calibri" w:cs="Calibri"/>
      <w:b/>
      <w:bCs/>
      <w:color w:val="auto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7102E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7102E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F7102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0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2E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1"/>
    <w:qFormat/>
    <w:rsid w:val="00AA4115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AA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1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115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025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30259"/>
    <w:pPr>
      <w:widowControl w:val="0"/>
    </w:pPr>
    <w:rPr>
      <w:rFonts w:ascii="Calibri" w:eastAsia="Calibri" w:hAnsi="Calibri" w:cs="Calibri"/>
      <w:color w:val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0259"/>
    <w:rPr>
      <w:rFonts w:ascii="Calibri" w:eastAsia="Calibri" w:hAnsi="Calibri" w:cs="Calibri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F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FC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FC6"/>
    <w:rPr>
      <w:vertAlign w:val="superscript"/>
    </w:rPr>
  </w:style>
  <w:style w:type="table" w:styleId="Tabela-Siatka">
    <w:name w:val="Table Grid"/>
    <w:basedOn w:val="Standardowy"/>
    <w:uiPriority w:val="39"/>
    <w:rsid w:val="006D7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6ADE4-E75B-449E-AADD-116D3794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1125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Gmyrek Paweł</cp:lastModifiedBy>
  <cp:revision>6</cp:revision>
  <cp:lastPrinted>2020-09-02T09:11:00Z</cp:lastPrinted>
  <dcterms:created xsi:type="dcterms:W3CDTF">2021-07-23T11:38:00Z</dcterms:created>
  <dcterms:modified xsi:type="dcterms:W3CDTF">2021-08-16T08:33:00Z</dcterms:modified>
</cp:coreProperties>
</file>